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9AC9" w14:textId="6B507852" w:rsidR="00386027" w:rsidRDefault="00B61BC2" w:rsidP="00386027">
      <w:pPr>
        <w:spacing w:after="0"/>
        <w:rPr>
          <w:rFonts w:ascii="Book Antiqua" w:hAnsi="Book Antiqua" w:cs="Arial"/>
          <w:noProof/>
          <w:lang w:eastAsia="en-GB"/>
        </w:rPr>
      </w:pPr>
      <w:r w:rsidRPr="00E017EE">
        <w:rPr>
          <w:rFonts w:ascii="Book Antiqua" w:hAnsi="Book Antiqua" w:cs="Arial"/>
          <w:noProof/>
          <w:lang w:eastAsia="en-GB"/>
        </w:rPr>
        <w:drawing>
          <wp:inline distT="0" distB="0" distL="0" distR="0" wp14:anchorId="14DE116D" wp14:editId="659FEECC">
            <wp:extent cx="2705100" cy="628650"/>
            <wp:effectExtent l="0" t="0" r="0" b="0"/>
            <wp:docPr id="1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CDB9" w14:textId="34C63B36" w:rsidR="009A22B4" w:rsidRPr="001C5227" w:rsidRDefault="001C5227" w:rsidP="001C5227">
      <w:pPr>
        <w:spacing w:after="0"/>
        <w:jc w:val="center"/>
        <w:rPr>
          <w:rFonts w:ascii="Book Antiqua" w:hAnsi="Book Antiqua" w:cs="Arial"/>
          <w:b/>
          <w:noProof/>
          <w:sz w:val="36"/>
          <w:lang w:eastAsia="en-GB"/>
        </w:rPr>
      </w:pPr>
      <w:r w:rsidRPr="001C522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6627A1" wp14:editId="2184740C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5715000" cy="287655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A261" w14:textId="1B4D9B5B" w:rsidR="001C5227" w:rsidRPr="001C5227" w:rsidRDefault="001C5227" w:rsidP="001C5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522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Question</w:t>
                            </w:r>
                          </w:p>
                          <w:p w14:paraId="027D4B08" w14:textId="77777777" w:rsidR="00492EC6" w:rsidRPr="00492EC6" w:rsidRDefault="00492EC6" w:rsidP="00492E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2E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Critically assess the following statement </w:t>
                            </w:r>
                            <w:proofErr w:type="gramStart"/>
                            <w:r w:rsidRPr="00492E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 light of</w:t>
                            </w:r>
                            <w:proofErr w:type="gramEnd"/>
                            <w:r w:rsidRPr="00492E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UK’s obligations under the European Convention on Human Rights (ECHR):</w:t>
                            </w:r>
                          </w:p>
                          <w:p w14:paraId="1BB41E44" w14:textId="77777777" w:rsidR="00492EC6" w:rsidRPr="00492EC6" w:rsidRDefault="00492EC6" w:rsidP="00492E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2E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“But when the application of rights begins to feel out of step with common sense – when it conflicts with fairness or disrupts legitimate government action – trust begins to erode.”</w:t>
                            </w:r>
                          </w:p>
                          <w:p w14:paraId="77DC0C35" w14:textId="5CBD7D04" w:rsidR="00492EC6" w:rsidRPr="00492EC6" w:rsidRDefault="00492EC6" w:rsidP="00492E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2E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 Rt Hon Shabana Mahmood MP, Lord Chancellor, 18 June 2025</w:t>
                            </w:r>
                          </w:p>
                          <w:p w14:paraId="409A1EFD" w14:textId="4FCD3B8C" w:rsidR="001C5227" w:rsidRPr="001C5227" w:rsidRDefault="00492EC6" w:rsidP="00492E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2E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 your response, focus on the role of Article 8 ECHR, its application in immigration and prison contexts, and whether domestic and Strasbourg courts have struck an appropriate balance between individual rights and the public interest.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2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39.2pt;width:450pt;height:22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">
                <v:textbox>
                  <w:txbxContent>
                    <w:p w14:paraId="7BC4A261" w14:textId="1B4D9B5B" w:rsidR="001C5227" w:rsidRPr="001C5227" w:rsidRDefault="001C5227" w:rsidP="001C52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C522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Question</w:t>
                      </w:r>
                    </w:p>
                    <w:p w14:paraId="027D4B08" w14:textId="77777777" w:rsidR="00492EC6" w:rsidRPr="00492EC6" w:rsidRDefault="00492EC6" w:rsidP="00492EC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92E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Critically assess the following statement </w:t>
                      </w:r>
                      <w:proofErr w:type="gramStart"/>
                      <w:r w:rsidRPr="00492E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 light of</w:t>
                      </w:r>
                      <w:proofErr w:type="gramEnd"/>
                      <w:r w:rsidRPr="00492E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the UK’s obligations under the European Convention on Human Rights (ECHR):</w:t>
                      </w:r>
                    </w:p>
                    <w:p w14:paraId="1BB41E44" w14:textId="77777777" w:rsidR="00492EC6" w:rsidRPr="00492EC6" w:rsidRDefault="00492EC6" w:rsidP="00492EC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92E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“But when the application of rights begins to feel out of step with common sense – when it conflicts with fairness or disrupts legitimate government action – trust begins to erode.”</w:t>
                      </w:r>
                    </w:p>
                    <w:p w14:paraId="77DC0C35" w14:textId="5CBD7D04" w:rsidR="00492EC6" w:rsidRPr="00492EC6" w:rsidRDefault="00492EC6" w:rsidP="00492EC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92E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 Rt Hon Shabana Mahmood MP, Lord Chancellor, 18 June 2025</w:t>
                      </w:r>
                    </w:p>
                    <w:p w14:paraId="409A1EFD" w14:textId="4FCD3B8C" w:rsidR="001C5227" w:rsidRPr="001C5227" w:rsidRDefault="00492EC6" w:rsidP="00492EC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92E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 your response, focus on the role of Article 8 ECHR, its application in immigration and prison contexts, and whether domestic and Strasbourg courts have struck an appropriate balance between individual rights and the public interest.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86027">
        <w:rPr>
          <w:rFonts w:ascii="Book Antiqua" w:hAnsi="Book Antiqua" w:cs="Arial"/>
          <w:b/>
          <w:noProof/>
          <w:sz w:val="36"/>
          <w:lang w:eastAsia="en-GB"/>
        </w:rPr>
        <w:t>Lechmere</w:t>
      </w:r>
      <w:r w:rsidR="00386027" w:rsidRPr="00D336BD">
        <w:rPr>
          <w:rFonts w:ascii="Book Antiqua" w:hAnsi="Book Antiqua" w:cs="Arial"/>
          <w:b/>
          <w:noProof/>
          <w:sz w:val="36"/>
          <w:lang w:eastAsia="en-GB"/>
        </w:rPr>
        <w:t xml:space="preserve"> Essay Prize</w:t>
      </w:r>
      <w:r w:rsidR="00393E21">
        <w:rPr>
          <w:rFonts w:ascii="Book Antiqua" w:hAnsi="Book Antiqua" w:cs="Arial"/>
          <w:b/>
          <w:noProof/>
          <w:sz w:val="36"/>
          <w:lang w:eastAsia="en-GB"/>
        </w:rPr>
        <w:t xml:space="preserve"> 20</w:t>
      </w:r>
      <w:r w:rsidR="00EE5916">
        <w:rPr>
          <w:rFonts w:ascii="Book Antiqua" w:hAnsi="Book Antiqua" w:cs="Arial"/>
          <w:b/>
          <w:noProof/>
          <w:sz w:val="36"/>
          <w:lang w:eastAsia="en-GB"/>
        </w:rPr>
        <w:t>2</w:t>
      </w:r>
      <w:r w:rsidR="00492EC6">
        <w:rPr>
          <w:rFonts w:ascii="Book Antiqua" w:hAnsi="Book Antiqua" w:cs="Arial"/>
          <w:b/>
          <w:noProof/>
          <w:sz w:val="36"/>
          <w:lang w:eastAsia="en-GB"/>
        </w:rPr>
        <w:t>5</w:t>
      </w:r>
    </w:p>
    <w:p w14:paraId="240710BD" w14:textId="3F5E1947" w:rsidR="00EE5916" w:rsidRPr="00393E21" w:rsidRDefault="00EE5916" w:rsidP="00393E21">
      <w:pPr>
        <w:spacing w:after="0"/>
        <w:jc w:val="center"/>
        <w:rPr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246"/>
      </w:tblGrid>
      <w:tr w:rsidR="00E017EE" w:rsidRPr="00DD648F" w14:paraId="311B5EB1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3E19E68C" w14:textId="77777777" w:rsidR="00E017EE" w:rsidRPr="00DD648F" w:rsidRDefault="00F21A52" w:rsidP="00DD648F">
            <w:pPr>
              <w:spacing w:after="0"/>
              <w:rPr>
                <w:rFonts w:ascii="Arial" w:hAnsi="Arial" w:cs="Arial"/>
              </w:rPr>
            </w:pPr>
            <w:r w:rsidRPr="007450CB">
              <w:rPr>
                <w:rFonts w:ascii="Arial" w:hAnsi="Arial" w:cs="Arial"/>
                <w:noProof/>
                <w:color w:val="000000"/>
                <w:lang w:eastAsia="en-GB"/>
              </w:rPr>
              <w:t xml:space="preserve"> </w:t>
            </w:r>
            <w:r w:rsidR="00E017EE" w:rsidRPr="00DD648F">
              <w:rPr>
                <w:rFonts w:ascii="Arial" w:hAnsi="Arial" w:cs="Arial"/>
              </w:rPr>
              <w:t>Name: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02AE5212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748F1B68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4290BEB0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020C8B17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MT Membership number: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36409C37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67B5BFEC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6232FBFF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45F04CBD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Address: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2EBCD098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1C9B1A35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05492592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5BE9139A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58FA5B0C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Postcode: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1783CD67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366BAD6E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0D969C1E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17A1CF18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Email address: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35927E85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500C9400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5EFF5C0" w14:textId="77777777" w:rsidR="00E017EE" w:rsidRDefault="00E017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254"/>
      </w:tblGrid>
      <w:tr w:rsidR="00E017EE" w:rsidRPr="00DD648F" w14:paraId="6BA7F632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41B3B233" w14:textId="77777777" w:rsidR="00E017EE" w:rsidRPr="00DD648F" w:rsidRDefault="00D336B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Word Count</w:t>
            </w:r>
            <w:r w:rsidR="00F900AE" w:rsidRPr="00DD648F">
              <w:rPr>
                <w:rFonts w:ascii="Arial" w:hAnsi="Arial" w:cs="Arial"/>
              </w:rPr>
              <w:t>*</w:t>
            </w:r>
            <w:r w:rsidR="00E017EE" w:rsidRPr="00DD648F">
              <w:rPr>
                <w:rFonts w:ascii="Arial" w:hAnsi="Arial" w:cs="Arial"/>
              </w:rPr>
              <w:t>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25C81423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07B952BE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59CDEB1" w14:textId="77777777" w:rsidR="00E017EE" w:rsidRPr="00F900AE" w:rsidRDefault="00F900AE" w:rsidP="00E017EE">
      <w:pPr>
        <w:spacing w:after="0"/>
        <w:rPr>
          <w:rFonts w:ascii="Arial" w:hAnsi="Arial" w:cs="Arial"/>
          <w:i/>
        </w:rPr>
      </w:pPr>
      <w:r w:rsidRPr="00F900AE">
        <w:rPr>
          <w:i/>
          <w:lang w:val="en"/>
        </w:rPr>
        <w:t>*</w:t>
      </w:r>
      <w:r w:rsidR="00362C95">
        <w:rPr>
          <w:i/>
          <w:lang w:val="en"/>
        </w:rPr>
        <w:t xml:space="preserve">The limit is 3,000 words.  </w:t>
      </w:r>
      <w:r w:rsidRPr="00F900AE">
        <w:rPr>
          <w:i/>
          <w:lang w:val="en"/>
        </w:rPr>
        <w:t xml:space="preserve">The word count does not include footnotes, but footnotes should be used for pure reference purposes and </w:t>
      </w:r>
      <w:r>
        <w:rPr>
          <w:i/>
          <w:lang w:val="en"/>
        </w:rPr>
        <w:t xml:space="preserve">should </w:t>
      </w:r>
      <w:r w:rsidRPr="00F900AE">
        <w:rPr>
          <w:i/>
          <w:lang w:val="en"/>
        </w:rPr>
        <w:t>not include analysis</w:t>
      </w:r>
    </w:p>
    <w:p w14:paraId="0E17EFF7" w14:textId="77777777" w:rsidR="00E017EE" w:rsidRDefault="00E017EE" w:rsidP="00E017EE">
      <w:pPr>
        <w:spacing w:after="0"/>
        <w:rPr>
          <w:rFonts w:ascii="Arial" w:hAnsi="Arial" w:cs="Arial"/>
        </w:rPr>
      </w:pPr>
    </w:p>
    <w:p w14:paraId="195E9B04" w14:textId="2DA7469D" w:rsidR="00492EC6" w:rsidRPr="00492EC6" w:rsidRDefault="00492EC6" w:rsidP="00492EC6">
      <w:pPr>
        <w:spacing w:after="0"/>
        <w:rPr>
          <w:rFonts w:ascii="Arial" w:hAnsi="Arial" w:cs="Arial"/>
        </w:rPr>
      </w:pPr>
      <w:r w:rsidRPr="00492EC6">
        <w:rPr>
          <w:rFonts w:ascii="Arial" w:hAnsi="Arial" w:cs="Arial"/>
          <w:b/>
          <w:bCs/>
        </w:rPr>
        <w:t>Assessment criteria</w:t>
      </w:r>
      <w:r>
        <w:rPr>
          <w:rFonts w:ascii="Arial" w:hAnsi="Arial" w:cs="Arial"/>
        </w:rPr>
        <w:t>:</w:t>
      </w:r>
      <w:r w:rsidRPr="00492EC6">
        <w:rPr>
          <w:rFonts w:ascii="Arial" w:hAnsi="Arial" w:cs="Arial"/>
        </w:rPr>
        <w:t xml:space="preserve"> Essays will be assessed solely on the quality of legal analysis and argumentation, not on the stance taken. Entrants are not expected to adopt any </w:t>
      </w:r>
      <w:proofErr w:type="gramStart"/>
      <w:r w:rsidRPr="00492EC6">
        <w:rPr>
          <w:rFonts w:ascii="Arial" w:hAnsi="Arial" w:cs="Arial"/>
        </w:rPr>
        <w:t>particular view</w:t>
      </w:r>
      <w:proofErr w:type="gramEnd"/>
      <w:r w:rsidRPr="00492EC6">
        <w:rPr>
          <w:rFonts w:ascii="Arial" w:hAnsi="Arial" w:cs="Arial"/>
        </w:rPr>
        <w:t xml:space="preserve"> on the ECHR or its application. Supportive and critical perspectives will be marked equally, provided they are well-reasoned, evidence-based, and professionally expressed.</w:t>
      </w:r>
    </w:p>
    <w:p w14:paraId="5D6DA3B8" w14:textId="77777777" w:rsidR="00492EC6" w:rsidRPr="00492EC6" w:rsidRDefault="00492EC6" w:rsidP="00492EC6">
      <w:pPr>
        <w:spacing w:after="0"/>
        <w:rPr>
          <w:rFonts w:ascii="Arial" w:hAnsi="Arial" w:cs="Arial"/>
        </w:rPr>
      </w:pPr>
    </w:p>
    <w:p w14:paraId="522EBDAF" w14:textId="77777777" w:rsidR="00492EC6" w:rsidRPr="00492EC6" w:rsidRDefault="00492EC6" w:rsidP="00492EC6">
      <w:pPr>
        <w:spacing w:after="0"/>
        <w:rPr>
          <w:rFonts w:ascii="Arial" w:hAnsi="Arial" w:cs="Arial"/>
        </w:rPr>
      </w:pPr>
      <w:r w:rsidRPr="00492EC6">
        <w:rPr>
          <w:rFonts w:ascii="Arial" w:hAnsi="Arial" w:cs="Arial"/>
        </w:rPr>
        <w:t xml:space="preserve">Note on the use of generative AI. Entrants intending to use generative AI tools must familiarise themselves with the Bar Council’s guidance: “Considerations when using </w:t>
      </w:r>
      <w:r w:rsidRPr="00492EC6">
        <w:rPr>
          <w:rFonts w:ascii="Arial" w:hAnsi="Arial" w:cs="Arial"/>
        </w:rPr>
        <w:lastRenderedPageBreak/>
        <w:t>ChatGPT and generative artificial intelligence software based on large language models” (Information Technology Panel, 30 January 2024).</w:t>
      </w:r>
    </w:p>
    <w:p w14:paraId="662FB55E" w14:textId="77777777" w:rsidR="00492EC6" w:rsidRPr="00492EC6" w:rsidRDefault="00492EC6" w:rsidP="00492EC6">
      <w:pPr>
        <w:spacing w:after="0"/>
        <w:rPr>
          <w:rFonts w:ascii="Arial" w:hAnsi="Arial" w:cs="Arial"/>
        </w:rPr>
      </w:pPr>
    </w:p>
    <w:p w14:paraId="3D331750" w14:textId="4F4DCC56" w:rsidR="00492EC6" w:rsidRDefault="00492EC6" w:rsidP="00492EC6">
      <w:pPr>
        <w:spacing w:after="0"/>
        <w:rPr>
          <w:rFonts w:ascii="Arial" w:hAnsi="Arial" w:cs="Arial"/>
        </w:rPr>
      </w:pPr>
      <w:r w:rsidRPr="00492EC6">
        <w:rPr>
          <w:rFonts w:ascii="Arial" w:hAnsi="Arial" w:cs="Arial"/>
        </w:rPr>
        <w:t>All entries must include a brief statement (maximum 100 words) at the end of the essay explaining whether, and if so how, generative AI was used. Responsible, limited use is permitted. However, over-reliance on AI or uncritical use — such as accepting inaccurate content or failing to verify legal sources — may be reflected in the assessment of the submission.</w:t>
      </w:r>
    </w:p>
    <w:p w14:paraId="475D8B08" w14:textId="77777777" w:rsidR="00362C95" w:rsidRDefault="00362C95" w:rsidP="00E017EE">
      <w:pPr>
        <w:spacing w:after="0"/>
        <w:rPr>
          <w:rFonts w:ascii="Arial" w:hAnsi="Arial" w:cs="Arial"/>
        </w:rPr>
      </w:pPr>
    </w:p>
    <w:p w14:paraId="6AAB8380" w14:textId="77777777" w:rsidR="0003290D" w:rsidRPr="00F900AE" w:rsidRDefault="0003290D" w:rsidP="00393E21">
      <w:pPr>
        <w:spacing w:after="40" w:line="240" w:lineRule="auto"/>
        <w:rPr>
          <w:rFonts w:ascii="Arial" w:hAnsi="Arial" w:cs="Arial"/>
          <w:b/>
        </w:rPr>
      </w:pPr>
      <w:r w:rsidRPr="0003290D">
        <w:rPr>
          <w:rFonts w:ascii="Arial" w:hAnsi="Arial" w:cs="Arial"/>
          <w:b/>
        </w:rPr>
        <w:t>Declaration</w:t>
      </w:r>
    </w:p>
    <w:p w14:paraId="50E0BE49" w14:textId="77777777" w:rsidR="00F900AE" w:rsidRDefault="00F900AE" w:rsidP="00393E21">
      <w:pPr>
        <w:pStyle w:val="NoSpacing"/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this document</w:t>
      </w:r>
      <w:r w:rsidR="003C6D31">
        <w:rPr>
          <w:rFonts w:ascii="Arial" w:hAnsi="Arial" w:cs="Arial"/>
          <w:sz w:val="22"/>
          <w:szCs w:val="22"/>
        </w:rPr>
        <w:t xml:space="preserve"> I confirm that</w:t>
      </w:r>
      <w:r>
        <w:rPr>
          <w:rFonts w:ascii="Arial" w:hAnsi="Arial" w:cs="Arial"/>
          <w:sz w:val="22"/>
          <w:szCs w:val="22"/>
        </w:rPr>
        <w:t>;</w:t>
      </w:r>
    </w:p>
    <w:p w14:paraId="58F0C8DD" w14:textId="77777777" w:rsidR="00F900AE" w:rsidRDefault="00F900AE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and understood</w:t>
      </w:r>
      <w:r w:rsidR="00E017EE" w:rsidRPr="00E017EE">
        <w:rPr>
          <w:rFonts w:ascii="Arial" w:hAnsi="Arial" w:cs="Arial"/>
          <w:sz w:val="22"/>
          <w:szCs w:val="22"/>
        </w:rPr>
        <w:t xml:space="preserve"> the guidance on plagiarism and consequent penalties</w:t>
      </w:r>
      <w:r>
        <w:rPr>
          <w:rFonts w:ascii="Arial" w:hAnsi="Arial" w:cs="Arial"/>
          <w:sz w:val="22"/>
          <w:szCs w:val="22"/>
        </w:rPr>
        <w:t>,</w:t>
      </w:r>
      <w:r w:rsidR="00E017EE" w:rsidRPr="00E017EE">
        <w:rPr>
          <w:rFonts w:ascii="Arial" w:hAnsi="Arial" w:cs="Arial"/>
          <w:sz w:val="22"/>
          <w:szCs w:val="22"/>
        </w:rPr>
        <w:t xml:space="preserve"> </w:t>
      </w:r>
      <w:r w:rsidR="00E017EE">
        <w:rPr>
          <w:rFonts w:ascii="Arial" w:hAnsi="Arial" w:cs="Arial"/>
          <w:sz w:val="22"/>
          <w:szCs w:val="22"/>
        </w:rPr>
        <w:t>which is available on the Middle Temple website</w:t>
      </w:r>
      <w:r w:rsidR="00E017EE" w:rsidRPr="00E017EE">
        <w:rPr>
          <w:rFonts w:ascii="Arial" w:hAnsi="Arial" w:cs="Arial"/>
          <w:sz w:val="22"/>
          <w:szCs w:val="22"/>
        </w:rPr>
        <w:t xml:space="preserve">. </w:t>
      </w:r>
      <w:r w:rsidR="00E017EE">
        <w:rPr>
          <w:rFonts w:ascii="Arial" w:hAnsi="Arial" w:cs="Arial"/>
          <w:sz w:val="22"/>
          <w:szCs w:val="22"/>
        </w:rPr>
        <w:t xml:space="preserve"> </w:t>
      </w:r>
    </w:p>
    <w:p w14:paraId="2856B807" w14:textId="77777777" w:rsidR="00F900AE" w:rsidRDefault="00E017EE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E017EE">
        <w:rPr>
          <w:rFonts w:ascii="Arial" w:hAnsi="Arial" w:cs="Arial"/>
          <w:sz w:val="22"/>
          <w:szCs w:val="22"/>
        </w:rPr>
        <w:t xml:space="preserve">the essay I am submitting for the </w:t>
      </w:r>
      <w:r w:rsidR="00A632BA">
        <w:rPr>
          <w:rFonts w:ascii="Arial" w:hAnsi="Arial" w:cs="Arial"/>
          <w:sz w:val="22"/>
          <w:szCs w:val="22"/>
        </w:rPr>
        <w:t>Lechmere</w:t>
      </w:r>
      <w:r w:rsidRPr="00E017EE">
        <w:rPr>
          <w:rFonts w:ascii="Arial" w:hAnsi="Arial" w:cs="Arial"/>
          <w:sz w:val="22"/>
          <w:szCs w:val="22"/>
        </w:rPr>
        <w:t xml:space="preserve"> Essay Competition is my sole creation and original work. </w:t>
      </w:r>
      <w:r w:rsidR="0003290D">
        <w:rPr>
          <w:rFonts w:ascii="Arial" w:hAnsi="Arial" w:cs="Arial"/>
          <w:sz w:val="22"/>
          <w:szCs w:val="22"/>
        </w:rPr>
        <w:t xml:space="preserve"> </w:t>
      </w:r>
      <w:r w:rsidRPr="00E017EE">
        <w:rPr>
          <w:rFonts w:ascii="Arial" w:hAnsi="Arial" w:cs="Arial"/>
          <w:sz w:val="22"/>
          <w:szCs w:val="22"/>
        </w:rPr>
        <w:t xml:space="preserve">Any work from other authors is acknowledged and appropriately referenced. </w:t>
      </w:r>
    </w:p>
    <w:p w14:paraId="21DEB40B" w14:textId="77777777" w:rsidR="00972C8B" w:rsidRDefault="00972C8B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F900AE">
        <w:rPr>
          <w:rFonts w:ascii="Arial" w:hAnsi="Arial" w:cs="Arial"/>
          <w:sz w:val="22"/>
          <w:szCs w:val="22"/>
        </w:rPr>
        <w:t>I am a member of the Middle Temple, and am either a student, or a newly Called barrister looking for</w:t>
      </w:r>
      <w:r>
        <w:rPr>
          <w:rFonts w:ascii="Arial" w:hAnsi="Arial" w:cs="Arial"/>
          <w:sz w:val="22"/>
          <w:szCs w:val="22"/>
        </w:rPr>
        <w:t>,</w:t>
      </w:r>
      <w:r w:rsidRPr="00F900AE">
        <w:rPr>
          <w:rFonts w:ascii="Arial" w:hAnsi="Arial" w:cs="Arial"/>
          <w:sz w:val="22"/>
          <w:szCs w:val="22"/>
        </w:rPr>
        <w:t xml:space="preserve"> or currently undertaking</w:t>
      </w:r>
      <w:r>
        <w:rPr>
          <w:rFonts w:ascii="Arial" w:hAnsi="Arial" w:cs="Arial"/>
          <w:sz w:val="22"/>
          <w:szCs w:val="22"/>
        </w:rPr>
        <w:t>,</w:t>
      </w:r>
      <w:r w:rsidRPr="00F900AE">
        <w:rPr>
          <w:rFonts w:ascii="Arial" w:hAnsi="Arial" w:cs="Arial"/>
          <w:sz w:val="22"/>
          <w:szCs w:val="22"/>
        </w:rPr>
        <w:t xml:space="preserve"> pupillage.  </w:t>
      </w:r>
    </w:p>
    <w:p w14:paraId="77ADD91E" w14:textId="77777777" w:rsidR="00972C8B" w:rsidRPr="00F900AE" w:rsidRDefault="00972C8B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F900AE">
        <w:rPr>
          <w:rFonts w:ascii="Arial" w:hAnsi="Arial" w:cs="Arial"/>
          <w:sz w:val="22"/>
          <w:szCs w:val="22"/>
        </w:rPr>
        <w:t>I intend</w:t>
      </w:r>
      <w:r>
        <w:rPr>
          <w:rFonts w:ascii="Arial" w:hAnsi="Arial" w:cs="Arial"/>
          <w:sz w:val="22"/>
          <w:szCs w:val="22"/>
        </w:rPr>
        <w:t xml:space="preserve"> to practise at the Bar of England and Wales.</w:t>
      </w:r>
    </w:p>
    <w:p w14:paraId="636F4CE8" w14:textId="77777777" w:rsidR="00E017EE" w:rsidRDefault="00E017EE" w:rsidP="00E017E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254"/>
      </w:tblGrid>
      <w:tr w:rsidR="0003290D" w:rsidRPr="00DD648F" w14:paraId="5123B7D0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3FE6479C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Signed: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0055F1A9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  <w:p w14:paraId="7C248688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  <w:p w14:paraId="2049FAB5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03290D" w:rsidRPr="00DD648F" w14:paraId="6A844009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624F7A08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Date: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1E096C16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DCCB4A7" w14:textId="77777777" w:rsidR="001C5227" w:rsidRPr="001C5227" w:rsidRDefault="001C5227" w:rsidP="001C5227">
      <w:pPr>
        <w:rPr>
          <w:rFonts w:ascii="Arial" w:hAnsi="Arial" w:cs="Arial"/>
          <w:sz w:val="2"/>
          <w:szCs w:val="2"/>
        </w:rPr>
      </w:pPr>
    </w:p>
    <w:sectPr w:rsidR="001C5227" w:rsidRPr="001C5227" w:rsidSect="003C6D31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E0227"/>
    <w:multiLevelType w:val="hybridMultilevel"/>
    <w:tmpl w:val="7C9CD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2E6"/>
    <w:multiLevelType w:val="hybridMultilevel"/>
    <w:tmpl w:val="7BF4D726"/>
    <w:lvl w:ilvl="0" w:tplc="AC26A88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3963"/>
    <w:multiLevelType w:val="hybridMultilevel"/>
    <w:tmpl w:val="75C6B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0FDE"/>
    <w:multiLevelType w:val="hybridMultilevel"/>
    <w:tmpl w:val="AFC6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617F"/>
    <w:multiLevelType w:val="hybridMultilevel"/>
    <w:tmpl w:val="175CA87E"/>
    <w:lvl w:ilvl="0" w:tplc="BEFC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6419">
    <w:abstractNumId w:val="3"/>
  </w:num>
  <w:num w:numId="2" w16cid:durableId="2017077516">
    <w:abstractNumId w:val="0"/>
  </w:num>
  <w:num w:numId="3" w16cid:durableId="713582840">
    <w:abstractNumId w:val="4"/>
  </w:num>
  <w:num w:numId="4" w16cid:durableId="1992634278">
    <w:abstractNumId w:val="2"/>
  </w:num>
  <w:num w:numId="5" w16cid:durableId="37338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EE"/>
    <w:rsid w:val="0003290D"/>
    <w:rsid w:val="00096D49"/>
    <w:rsid w:val="0009716C"/>
    <w:rsid w:val="000A4C42"/>
    <w:rsid w:val="001039DA"/>
    <w:rsid w:val="001C5227"/>
    <w:rsid w:val="00362C95"/>
    <w:rsid w:val="00386027"/>
    <w:rsid w:val="00393E21"/>
    <w:rsid w:val="003A7196"/>
    <w:rsid w:val="003C6D31"/>
    <w:rsid w:val="003E670F"/>
    <w:rsid w:val="004353AE"/>
    <w:rsid w:val="0047227D"/>
    <w:rsid w:val="00492EC6"/>
    <w:rsid w:val="004E054D"/>
    <w:rsid w:val="005441DB"/>
    <w:rsid w:val="005B57D7"/>
    <w:rsid w:val="005C2908"/>
    <w:rsid w:val="005E1F52"/>
    <w:rsid w:val="00642819"/>
    <w:rsid w:val="007450CB"/>
    <w:rsid w:val="007F793E"/>
    <w:rsid w:val="00972C8B"/>
    <w:rsid w:val="009931E6"/>
    <w:rsid w:val="009A22B4"/>
    <w:rsid w:val="00A52359"/>
    <w:rsid w:val="00A632BA"/>
    <w:rsid w:val="00B61BC2"/>
    <w:rsid w:val="00B77273"/>
    <w:rsid w:val="00B84DC9"/>
    <w:rsid w:val="00BD2FEF"/>
    <w:rsid w:val="00C22EDB"/>
    <w:rsid w:val="00D336BD"/>
    <w:rsid w:val="00DA0437"/>
    <w:rsid w:val="00DD648F"/>
    <w:rsid w:val="00DD7F12"/>
    <w:rsid w:val="00E017EE"/>
    <w:rsid w:val="00E20A66"/>
    <w:rsid w:val="00E52F62"/>
    <w:rsid w:val="00E936DF"/>
    <w:rsid w:val="00EE5916"/>
    <w:rsid w:val="00EF7DFC"/>
    <w:rsid w:val="00F21A52"/>
    <w:rsid w:val="00F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82D"/>
  <w15:chartTrackingRefBased/>
  <w15:docId w15:val="{B4A2C3A3-0065-4412-B5BB-D4FC2246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017EE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MiddleTemple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Yorke</dc:creator>
  <cp:keywords/>
  <dc:description/>
  <cp:lastModifiedBy>Alexander Clevewood Ng</cp:lastModifiedBy>
  <cp:revision>3</cp:revision>
  <dcterms:created xsi:type="dcterms:W3CDTF">2025-06-30T08:58:00Z</dcterms:created>
  <dcterms:modified xsi:type="dcterms:W3CDTF">2025-06-30T09:00:00Z</dcterms:modified>
</cp:coreProperties>
</file>