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95BC3" w14:textId="77777777" w:rsidR="00DB0986" w:rsidRPr="00D87CF5" w:rsidRDefault="00DB0986" w:rsidP="00DB0986">
      <w:pPr>
        <w:spacing w:line="360" w:lineRule="auto"/>
        <w:rPr>
          <w:rFonts w:ascii="Book Antiqua" w:hAnsi="Book Antiqua" w:cs="Times New Roman"/>
          <w:b/>
          <w:bCs/>
        </w:rPr>
      </w:pPr>
      <w:r w:rsidRPr="00D87CF5">
        <w:rPr>
          <w:rFonts w:ascii="Book Antiqua" w:hAnsi="Book Antiqua" w:cs="Times New Roman"/>
          <w:b/>
          <w:bCs/>
        </w:rPr>
        <w:t xml:space="preserve">IN THE SUPREME COURT </w:t>
      </w:r>
    </w:p>
    <w:p w14:paraId="78B20521" w14:textId="77777777" w:rsidR="00DB0986" w:rsidRPr="00D87CF5" w:rsidRDefault="00DB0986" w:rsidP="00DB0986">
      <w:pPr>
        <w:spacing w:line="360" w:lineRule="auto"/>
        <w:rPr>
          <w:rFonts w:ascii="Book Antiqua" w:hAnsi="Book Antiqua" w:cs="Times New Roman"/>
          <w:b/>
          <w:bCs/>
        </w:rPr>
      </w:pPr>
      <w:r w:rsidRPr="00D87CF5">
        <w:rPr>
          <w:rFonts w:ascii="Book Antiqua" w:hAnsi="Book Antiqua" w:cs="Times New Roman"/>
          <w:b/>
          <w:bCs/>
        </w:rPr>
        <w:t>ON APPEAL FROM THE DIVISIONAL COURT (CRIMINAL DIVISION)</w:t>
      </w:r>
    </w:p>
    <w:p w14:paraId="607BB327" w14:textId="77777777" w:rsidR="00DB0986" w:rsidRPr="00D87CF5" w:rsidRDefault="00DB0986" w:rsidP="00DB0986">
      <w:pPr>
        <w:spacing w:line="360" w:lineRule="auto"/>
        <w:rPr>
          <w:rFonts w:ascii="Book Antiqua" w:hAnsi="Book Antiqua" w:cs="Times New Roman"/>
          <w:b/>
          <w:bCs/>
        </w:rPr>
      </w:pPr>
      <w:r w:rsidRPr="00D87CF5">
        <w:rPr>
          <w:rFonts w:ascii="Book Antiqua" w:hAnsi="Book Antiqua" w:cs="Times New Roman"/>
          <w:b/>
          <w:bCs/>
        </w:rPr>
        <w:t xml:space="preserve">B E T W E </w:t>
      </w:r>
      <w:proofErr w:type="spellStart"/>
      <w:r w:rsidRPr="00D87CF5">
        <w:rPr>
          <w:rFonts w:ascii="Book Antiqua" w:hAnsi="Book Antiqua" w:cs="Times New Roman"/>
          <w:b/>
          <w:bCs/>
        </w:rPr>
        <w:t>E</w:t>
      </w:r>
      <w:proofErr w:type="spellEnd"/>
      <w:r w:rsidRPr="00D87CF5">
        <w:rPr>
          <w:rFonts w:ascii="Book Antiqua" w:hAnsi="Book Antiqua" w:cs="Times New Roman"/>
          <w:b/>
          <w:bCs/>
        </w:rPr>
        <w:t xml:space="preserve"> N:</w:t>
      </w:r>
    </w:p>
    <w:p w14:paraId="0494DC3A" w14:textId="77777777" w:rsidR="00DB0986" w:rsidRPr="00D87CF5" w:rsidRDefault="00DB0986" w:rsidP="00DB0986">
      <w:pPr>
        <w:spacing w:line="360" w:lineRule="auto"/>
        <w:rPr>
          <w:rFonts w:ascii="Book Antiqua" w:hAnsi="Book Antiqua" w:cs="Times New Roman"/>
          <w:b/>
          <w:bCs/>
        </w:rPr>
      </w:pPr>
    </w:p>
    <w:p w14:paraId="5DD1569D" w14:textId="77777777" w:rsidR="00DB0986" w:rsidRPr="00D87CF5" w:rsidRDefault="00DB0986" w:rsidP="00DB0986">
      <w:pPr>
        <w:spacing w:line="360" w:lineRule="auto"/>
        <w:jc w:val="center"/>
        <w:rPr>
          <w:rFonts w:ascii="Book Antiqua" w:hAnsi="Book Antiqua" w:cs="Times New Roman"/>
          <w:b/>
          <w:bCs/>
        </w:rPr>
      </w:pPr>
      <w:r w:rsidRPr="00D87CF5">
        <w:rPr>
          <w:rFonts w:ascii="Book Antiqua" w:hAnsi="Book Antiqua" w:cs="Times New Roman"/>
          <w:b/>
          <w:bCs/>
        </w:rPr>
        <w:t>MEURSAULT</w:t>
      </w:r>
    </w:p>
    <w:p w14:paraId="42F4B20E" w14:textId="77777777" w:rsidR="00DB0986" w:rsidRPr="00D87CF5" w:rsidRDefault="00DB0986" w:rsidP="00DB0986">
      <w:pPr>
        <w:spacing w:line="360" w:lineRule="auto"/>
        <w:jc w:val="right"/>
        <w:rPr>
          <w:rFonts w:ascii="Book Antiqua" w:hAnsi="Book Antiqua" w:cs="Times New Roman"/>
          <w:u w:val="single"/>
        </w:rPr>
      </w:pPr>
      <w:r w:rsidRPr="00D87CF5">
        <w:rPr>
          <w:rFonts w:ascii="Book Antiqua" w:hAnsi="Book Antiqua" w:cs="Times New Roman"/>
          <w:u w:val="single"/>
        </w:rPr>
        <w:t>Appellant</w:t>
      </w:r>
    </w:p>
    <w:p w14:paraId="405FA7F1" w14:textId="77777777" w:rsidR="00DB0986" w:rsidRPr="00D87CF5" w:rsidRDefault="00DB0986" w:rsidP="00DB0986">
      <w:pPr>
        <w:spacing w:line="360" w:lineRule="auto"/>
        <w:jc w:val="center"/>
        <w:rPr>
          <w:rFonts w:ascii="Book Antiqua" w:hAnsi="Book Antiqua" w:cs="Times New Roman"/>
          <w:b/>
          <w:bCs/>
        </w:rPr>
      </w:pPr>
      <w:r w:rsidRPr="00D87CF5">
        <w:rPr>
          <w:rFonts w:ascii="Book Antiqua" w:hAnsi="Book Antiqua" w:cs="Times New Roman"/>
          <w:b/>
          <w:bCs/>
        </w:rPr>
        <w:t>-and-</w:t>
      </w:r>
    </w:p>
    <w:p w14:paraId="30BA8EC3" w14:textId="77777777" w:rsidR="00DB0986" w:rsidRPr="00D87CF5" w:rsidRDefault="00DB0986" w:rsidP="00DB0986">
      <w:pPr>
        <w:spacing w:line="360" w:lineRule="auto"/>
        <w:jc w:val="center"/>
        <w:rPr>
          <w:rFonts w:ascii="Book Antiqua" w:hAnsi="Book Antiqua" w:cs="Times New Roman"/>
          <w:b/>
          <w:bCs/>
        </w:rPr>
      </w:pPr>
    </w:p>
    <w:p w14:paraId="000389E3" w14:textId="77777777" w:rsidR="00DB0986" w:rsidRPr="00D87CF5" w:rsidRDefault="00DB0986" w:rsidP="00DB0986">
      <w:pPr>
        <w:spacing w:line="360" w:lineRule="auto"/>
        <w:jc w:val="center"/>
        <w:rPr>
          <w:rFonts w:ascii="Book Antiqua" w:hAnsi="Book Antiqua" w:cs="Times New Roman"/>
          <w:b/>
          <w:bCs/>
        </w:rPr>
      </w:pPr>
      <w:r w:rsidRPr="00D87CF5">
        <w:rPr>
          <w:rFonts w:ascii="Book Antiqua" w:hAnsi="Book Antiqua" w:cs="Times New Roman"/>
          <w:b/>
          <w:bCs/>
        </w:rPr>
        <w:t>SECRETARY OF STATE FOR THE HOME DEPARTMENT</w:t>
      </w:r>
    </w:p>
    <w:p w14:paraId="22CD820A" w14:textId="77777777" w:rsidR="00DB0986" w:rsidRPr="00D87CF5" w:rsidRDefault="00DB0986" w:rsidP="00DB0986">
      <w:pPr>
        <w:spacing w:line="360" w:lineRule="auto"/>
        <w:jc w:val="right"/>
        <w:rPr>
          <w:rFonts w:ascii="Book Antiqua" w:hAnsi="Book Antiqua" w:cs="Times New Roman"/>
          <w:u w:val="single"/>
        </w:rPr>
      </w:pPr>
      <w:r w:rsidRPr="00D87CF5">
        <w:rPr>
          <w:rFonts w:ascii="Book Antiqua" w:hAnsi="Book Antiqua" w:cs="Times New Roman"/>
          <w:u w:val="single"/>
        </w:rPr>
        <w:t>Respondent</w:t>
      </w:r>
    </w:p>
    <w:p w14:paraId="4102726E" w14:textId="77777777" w:rsidR="00DB0986" w:rsidRPr="00D87CF5" w:rsidRDefault="00DB0986" w:rsidP="00DB0986">
      <w:pPr>
        <w:spacing w:line="360" w:lineRule="auto"/>
        <w:jc w:val="right"/>
        <w:rPr>
          <w:rFonts w:ascii="Book Antiqua" w:hAnsi="Book Antiqua" w:cs="Times New Roman"/>
          <w:b/>
          <w:bCs/>
          <w:u w:val="single"/>
        </w:rPr>
      </w:pPr>
    </w:p>
    <w:tbl>
      <w:tblPr>
        <w:tblStyle w:val="TableGrid"/>
        <w:tblpPr w:leftFromText="180" w:rightFromText="180" w:vertAnchor="text" w:horzAnchor="margin" w:tblpXSpec="center" w:tblpY="246"/>
        <w:tblW w:w="6464" w:type="dxa"/>
        <w:tblLook w:val="04A0" w:firstRow="1" w:lastRow="0" w:firstColumn="1" w:lastColumn="0" w:noHBand="0" w:noVBand="1"/>
      </w:tblPr>
      <w:tblGrid>
        <w:gridCol w:w="6464"/>
      </w:tblGrid>
      <w:tr w:rsidR="00DB0986" w:rsidRPr="00D87CF5" w14:paraId="22735C70" w14:textId="77777777" w:rsidTr="00724A04">
        <w:trPr>
          <w:trHeight w:val="1152"/>
        </w:trPr>
        <w:tc>
          <w:tcPr>
            <w:tcW w:w="6464" w:type="dxa"/>
            <w:tcBorders>
              <w:top w:val="single" w:sz="18" w:space="0" w:color="000000"/>
              <w:left w:val="nil"/>
              <w:bottom w:val="single" w:sz="18" w:space="0" w:color="000000"/>
              <w:right w:val="nil"/>
            </w:tcBorders>
          </w:tcPr>
          <w:p w14:paraId="15ECC17D" w14:textId="77777777" w:rsidR="00DB0986" w:rsidRPr="00D87CF5" w:rsidRDefault="00DB0986" w:rsidP="00724A04">
            <w:pPr>
              <w:spacing w:line="360" w:lineRule="auto"/>
              <w:jc w:val="center"/>
              <w:rPr>
                <w:rFonts w:ascii="Book Antiqua" w:hAnsi="Book Antiqua" w:cs="Times New Roman"/>
                <w:b/>
                <w:bCs/>
                <w:u w:val="single"/>
              </w:rPr>
            </w:pPr>
          </w:p>
          <w:p w14:paraId="02059FF9" w14:textId="0336ECFC" w:rsidR="00DB0986" w:rsidRPr="00D87CF5" w:rsidRDefault="00AD01E0" w:rsidP="00724A04">
            <w:pPr>
              <w:spacing w:line="360" w:lineRule="auto"/>
              <w:jc w:val="center"/>
              <w:rPr>
                <w:rFonts w:ascii="Book Antiqua" w:hAnsi="Book Antiqua" w:cs="Times New Roman"/>
                <w:b/>
                <w:bCs/>
              </w:rPr>
            </w:pPr>
            <w:r w:rsidRPr="00D87CF5">
              <w:rPr>
                <w:rFonts w:ascii="Book Antiqua" w:hAnsi="Book Antiqua" w:cs="Times New Roman"/>
                <w:b/>
                <w:bCs/>
              </w:rPr>
              <w:t>MOOT PROBLEM</w:t>
            </w:r>
          </w:p>
          <w:p w14:paraId="36C79A33" w14:textId="46A1F4BD" w:rsidR="00AD01E0" w:rsidRPr="00D87CF5" w:rsidRDefault="00AD01E0" w:rsidP="00724A04">
            <w:pPr>
              <w:spacing w:line="360" w:lineRule="auto"/>
              <w:jc w:val="center"/>
              <w:rPr>
                <w:rFonts w:ascii="Book Antiqua" w:hAnsi="Book Antiqua" w:cs="Times New Roman"/>
                <w:i/>
                <w:iCs/>
              </w:rPr>
            </w:pPr>
            <w:proofErr w:type="spellStart"/>
            <w:r w:rsidRPr="00D87CF5">
              <w:rPr>
                <w:rFonts w:ascii="Book Antiqua" w:hAnsi="Book Antiqua" w:cs="Times New Roman"/>
                <w:i/>
                <w:iCs/>
              </w:rPr>
              <w:t>Rosamund</w:t>
            </w:r>
            <w:proofErr w:type="spellEnd"/>
            <w:r w:rsidRPr="00D87CF5">
              <w:rPr>
                <w:rFonts w:ascii="Book Antiqua" w:hAnsi="Book Antiqua" w:cs="Times New Roman"/>
                <w:i/>
                <w:iCs/>
              </w:rPr>
              <w:t xml:space="preserve"> Smith Moot Final, 27 October 2020</w:t>
            </w:r>
          </w:p>
        </w:tc>
      </w:tr>
    </w:tbl>
    <w:p w14:paraId="3EADFA39" w14:textId="77777777" w:rsidR="00DB0986" w:rsidRPr="00D87CF5" w:rsidRDefault="00DB0986" w:rsidP="00DB0986">
      <w:pPr>
        <w:spacing w:line="360" w:lineRule="auto"/>
        <w:jc w:val="center"/>
        <w:rPr>
          <w:rFonts w:ascii="Book Antiqua" w:hAnsi="Book Antiqua" w:cs="Times New Roman"/>
          <w:b/>
          <w:bCs/>
          <w:u w:val="single"/>
        </w:rPr>
      </w:pPr>
    </w:p>
    <w:p w14:paraId="336525C3" w14:textId="77777777" w:rsidR="00DB0986" w:rsidRPr="00D87CF5" w:rsidRDefault="00DB0986" w:rsidP="00DB0986">
      <w:pPr>
        <w:spacing w:line="360" w:lineRule="auto"/>
        <w:jc w:val="center"/>
        <w:rPr>
          <w:rFonts w:ascii="Book Antiqua" w:hAnsi="Book Antiqua" w:cs="Times New Roman"/>
          <w:b/>
          <w:bCs/>
          <w:u w:val="single"/>
        </w:rPr>
      </w:pPr>
    </w:p>
    <w:p w14:paraId="4A668780" w14:textId="77777777" w:rsidR="00DB0986" w:rsidRPr="00D87CF5" w:rsidRDefault="00DB0986" w:rsidP="00DB0986">
      <w:pPr>
        <w:rPr>
          <w:rFonts w:ascii="Book Antiqua" w:hAnsi="Book Antiqua" w:cs="Times New Roman"/>
        </w:rPr>
      </w:pPr>
    </w:p>
    <w:p w14:paraId="5A691549" w14:textId="77777777" w:rsidR="00DB0986" w:rsidRPr="00D87CF5" w:rsidRDefault="00DB0986" w:rsidP="00DB0986">
      <w:pPr>
        <w:rPr>
          <w:rFonts w:ascii="Book Antiqua" w:hAnsi="Book Antiqua" w:cs="Times New Roman"/>
        </w:rPr>
      </w:pPr>
    </w:p>
    <w:p w14:paraId="0C627EEB" w14:textId="77777777" w:rsidR="00DB0986" w:rsidRPr="00D87CF5" w:rsidRDefault="00DB0986" w:rsidP="00DB0986">
      <w:pPr>
        <w:rPr>
          <w:rFonts w:ascii="Book Antiqua" w:hAnsi="Book Antiqua" w:cs="Times New Roman"/>
        </w:rPr>
      </w:pPr>
    </w:p>
    <w:p w14:paraId="58675A25" w14:textId="77777777" w:rsidR="00DB0986" w:rsidRPr="00D87CF5" w:rsidRDefault="00DB0986" w:rsidP="00DB0986">
      <w:pPr>
        <w:jc w:val="both"/>
        <w:rPr>
          <w:rFonts w:ascii="Book Antiqua" w:hAnsi="Book Antiqua"/>
          <w:b/>
          <w:bCs/>
        </w:rPr>
      </w:pPr>
    </w:p>
    <w:p w14:paraId="0B4D14F3" w14:textId="77777777" w:rsidR="00DB0986" w:rsidRPr="00D87CF5" w:rsidRDefault="00DB0986" w:rsidP="00DB0986">
      <w:pPr>
        <w:jc w:val="both"/>
        <w:rPr>
          <w:rFonts w:ascii="Book Antiqua" w:hAnsi="Book Antiqua"/>
          <w:b/>
          <w:bCs/>
        </w:rPr>
      </w:pPr>
    </w:p>
    <w:p w14:paraId="4707193F" w14:textId="76606DF6" w:rsidR="002C0C19" w:rsidRPr="00D87CF5" w:rsidRDefault="002C0C19" w:rsidP="00DB0986">
      <w:pPr>
        <w:jc w:val="both"/>
        <w:rPr>
          <w:rFonts w:ascii="Book Antiqua" w:hAnsi="Book Antiqua"/>
          <w:b/>
          <w:bCs/>
        </w:rPr>
      </w:pPr>
    </w:p>
    <w:p w14:paraId="219AB532" w14:textId="70A208ED" w:rsidR="00E33C84" w:rsidRPr="00D87CF5" w:rsidRDefault="002C0C19" w:rsidP="00B9739C">
      <w:pPr>
        <w:pStyle w:val="ListParagraph"/>
        <w:numPr>
          <w:ilvl w:val="0"/>
          <w:numId w:val="1"/>
        </w:numPr>
        <w:jc w:val="both"/>
        <w:rPr>
          <w:rFonts w:ascii="Book Antiqua" w:hAnsi="Book Antiqua"/>
        </w:rPr>
      </w:pPr>
      <w:r w:rsidRPr="00D87CF5">
        <w:rPr>
          <w:rFonts w:ascii="Book Antiqua" w:hAnsi="Book Antiqua"/>
        </w:rPr>
        <w:t>By June 2022, the Government has left the Council of Europe and has withdrawn from the European Convention on Human Rights. By a large majority Parliament</w:t>
      </w:r>
      <w:r w:rsidR="007254D0" w:rsidRPr="00D87CF5">
        <w:rPr>
          <w:rFonts w:ascii="Book Antiqua" w:hAnsi="Book Antiqua"/>
        </w:rPr>
        <w:t xml:space="preserve"> </w:t>
      </w:r>
      <w:r w:rsidR="00694940" w:rsidRPr="00D87CF5">
        <w:rPr>
          <w:rFonts w:ascii="Book Antiqua" w:hAnsi="Book Antiqua"/>
        </w:rPr>
        <w:t xml:space="preserve">has </w:t>
      </w:r>
      <w:r w:rsidR="007254D0" w:rsidRPr="00D87CF5">
        <w:rPr>
          <w:rFonts w:ascii="Book Antiqua" w:hAnsi="Book Antiqua"/>
        </w:rPr>
        <w:t>repealed the Human Rights Act 1998 and</w:t>
      </w:r>
      <w:r w:rsidRPr="00D87CF5">
        <w:rPr>
          <w:rFonts w:ascii="Book Antiqua" w:hAnsi="Book Antiqua"/>
        </w:rPr>
        <w:t xml:space="preserve"> </w:t>
      </w:r>
      <w:r w:rsidR="00653D79" w:rsidRPr="00D87CF5">
        <w:rPr>
          <w:rFonts w:ascii="Book Antiqua" w:hAnsi="Book Antiqua"/>
        </w:rPr>
        <w:t>passed the United Kingdom Human Rights Act 2022</w:t>
      </w:r>
      <w:r w:rsidR="00694940" w:rsidRPr="00D87CF5">
        <w:rPr>
          <w:rFonts w:ascii="Book Antiqua" w:hAnsi="Book Antiqua"/>
        </w:rPr>
        <w:t xml:space="preserve">; </w:t>
      </w:r>
      <w:r w:rsidR="00653D79" w:rsidRPr="00D87CF5">
        <w:rPr>
          <w:rFonts w:ascii="Book Antiqua" w:hAnsi="Book Antiqua"/>
        </w:rPr>
        <w:t xml:space="preserve">pursuant to </w:t>
      </w:r>
      <w:r w:rsidR="00694940" w:rsidRPr="00D87CF5">
        <w:rPr>
          <w:rFonts w:ascii="Book Antiqua" w:hAnsi="Book Antiqua"/>
        </w:rPr>
        <w:t xml:space="preserve">that new </w:t>
      </w:r>
      <w:r w:rsidR="007C30EC">
        <w:rPr>
          <w:rFonts w:ascii="Book Antiqua" w:hAnsi="Book Antiqua"/>
        </w:rPr>
        <w:t>A</w:t>
      </w:r>
      <w:r w:rsidR="00694940" w:rsidRPr="00D87CF5">
        <w:rPr>
          <w:rFonts w:ascii="Book Antiqua" w:hAnsi="Book Antiqua"/>
        </w:rPr>
        <w:t xml:space="preserve">ct, </w:t>
      </w:r>
      <w:r w:rsidRPr="00D87CF5">
        <w:rPr>
          <w:rFonts w:ascii="Book Antiqua" w:hAnsi="Book Antiqua"/>
        </w:rPr>
        <w:t>the United Kingdom will no longer give effect to decisions of the European Court of Human Rights</w:t>
      </w:r>
      <w:r w:rsidR="00694940" w:rsidRPr="00D87CF5">
        <w:rPr>
          <w:rFonts w:ascii="Book Antiqua" w:hAnsi="Book Antiqua"/>
        </w:rPr>
        <w:t>,</w:t>
      </w:r>
      <w:r w:rsidR="00653D79" w:rsidRPr="00D87CF5">
        <w:rPr>
          <w:rFonts w:ascii="Book Antiqua" w:hAnsi="Book Antiqua"/>
        </w:rPr>
        <w:t xml:space="preserve"> and</w:t>
      </w:r>
      <w:r w:rsidR="007912E3" w:rsidRPr="00D87CF5">
        <w:rPr>
          <w:rFonts w:ascii="Book Antiqua" w:hAnsi="Book Antiqua"/>
        </w:rPr>
        <w:t xml:space="preserve"> </w:t>
      </w:r>
      <w:r w:rsidRPr="00D87CF5">
        <w:rPr>
          <w:rFonts w:ascii="Book Antiqua" w:hAnsi="Book Antiqua"/>
        </w:rPr>
        <w:t xml:space="preserve">a </w:t>
      </w:r>
      <w:r w:rsidR="00E33C84" w:rsidRPr="00D87CF5">
        <w:rPr>
          <w:rFonts w:ascii="Book Antiqua" w:hAnsi="Book Antiqua"/>
        </w:rPr>
        <w:t xml:space="preserve">Royal </w:t>
      </w:r>
      <w:r w:rsidRPr="00D87CF5">
        <w:rPr>
          <w:rFonts w:ascii="Book Antiqua" w:hAnsi="Book Antiqua"/>
        </w:rPr>
        <w:t xml:space="preserve">Commission </w:t>
      </w:r>
      <w:r w:rsidR="007912E3" w:rsidRPr="00D87CF5">
        <w:rPr>
          <w:rFonts w:ascii="Book Antiqua" w:hAnsi="Book Antiqua"/>
        </w:rPr>
        <w:t>is required to</w:t>
      </w:r>
      <w:r w:rsidRPr="00D87CF5">
        <w:rPr>
          <w:rFonts w:ascii="Book Antiqua" w:hAnsi="Book Antiqua"/>
        </w:rPr>
        <w:t xml:space="preserve"> consider and report on the establishment of a set of United Kingdom rights “to take back British rights for British citizens”.  The </w:t>
      </w:r>
      <w:r w:rsidR="00E33C84" w:rsidRPr="00D87CF5">
        <w:rPr>
          <w:rFonts w:ascii="Book Antiqua" w:hAnsi="Book Antiqua"/>
        </w:rPr>
        <w:t xml:space="preserve">Royal </w:t>
      </w:r>
      <w:r w:rsidRPr="00D87CF5">
        <w:rPr>
          <w:rFonts w:ascii="Book Antiqua" w:hAnsi="Book Antiqua"/>
        </w:rPr>
        <w:t>Commission is sitting</w:t>
      </w:r>
      <w:r w:rsidR="00E33C84" w:rsidRPr="00D87CF5">
        <w:rPr>
          <w:rFonts w:ascii="Book Antiqua" w:hAnsi="Book Antiqua"/>
        </w:rPr>
        <w:t>,</w:t>
      </w:r>
      <w:r w:rsidRPr="00D87CF5">
        <w:rPr>
          <w:rFonts w:ascii="Book Antiqua" w:hAnsi="Book Antiqua"/>
        </w:rPr>
        <w:t xml:space="preserve"> presided over by </w:t>
      </w:r>
      <w:r w:rsidR="00E33C84" w:rsidRPr="00D87CF5">
        <w:rPr>
          <w:rFonts w:ascii="Book Antiqua" w:hAnsi="Book Antiqua"/>
        </w:rPr>
        <w:t xml:space="preserve">a </w:t>
      </w:r>
      <w:r w:rsidRPr="00D87CF5">
        <w:rPr>
          <w:rFonts w:ascii="Book Antiqua" w:hAnsi="Book Antiqua"/>
        </w:rPr>
        <w:t>senior former editor of a popular newspaper</w:t>
      </w:r>
      <w:r w:rsidR="00653D79" w:rsidRPr="00D87CF5">
        <w:rPr>
          <w:rFonts w:ascii="Book Antiqua" w:hAnsi="Book Antiqua"/>
        </w:rPr>
        <w:t>,</w:t>
      </w:r>
      <w:r w:rsidR="00E33C84" w:rsidRPr="00D87CF5">
        <w:rPr>
          <w:rFonts w:ascii="Book Antiqua" w:hAnsi="Book Antiqua"/>
        </w:rPr>
        <w:t xml:space="preserve"> but has yet to report.</w:t>
      </w:r>
    </w:p>
    <w:p w14:paraId="6BF7758D" w14:textId="77777777" w:rsidR="00B9739C" w:rsidRPr="00D87CF5" w:rsidRDefault="00B9739C" w:rsidP="00DB0986">
      <w:pPr>
        <w:jc w:val="both"/>
        <w:rPr>
          <w:rFonts w:ascii="Book Antiqua" w:hAnsi="Book Antiqua"/>
        </w:rPr>
      </w:pPr>
    </w:p>
    <w:p w14:paraId="6C675BAB" w14:textId="7A0EDC77" w:rsidR="002C0C19" w:rsidRPr="00D87CF5" w:rsidRDefault="00E33C84" w:rsidP="00B9739C">
      <w:pPr>
        <w:pStyle w:val="ListParagraph"/>
        <w:numPr>
          <w:ilvl w:val="0"/>
          <w:numId w:val="1"/>
        </w:numPr>
        <w:jc w:val="both"/>
        <w:rPr>
          <w:rFonts w:ascii="Book Antiqua" w:hAnsi="Book Antiqua"/>
        </w:rPr>
      </w:pPr>
      <w:r w:rsidRPr="00D87CF5">
        <w:rPr>
          <w:rFonts w:ascii="Book Antiqua" w:hAnsi="Book Antiqua"/>
        </w:rPr>
        <w:t>In July 2022 new statutory provisions were introduced relating to mandatory life prisoners.</w:t>
      </w:r>
      <w:r w:rsidR="007912E3" w:rsidRPr="00D87CF5">
        <w:rPr>
          <w:rFonts w:ascii="Book Antiqua" w:hAnsi="Book Antiqua"/>
        </w:rPr>
        <w:t xml:space="preserve"> </w:t>
      </w:r>
      <w:r w:rsidR="00BA1254" w:rsidRPr="00D87CF5">
        <w:rPr>
          <w:rFonts w:ascii="Book Antiqua" w:hAnsi="Book Antiqua"/>
        </w:rPr>
        <w:t>The Criminal Justice Act 2003 (sections 269-277, Schedules 21 and 22</w:t>
      </w:r>
      <w:r w:rsidR="00D90526" w:rsidRPr="00D87CF5">
        <w:rPr>
          <w:rFonts w:ascii="Book Antiqua" w:hAnsi="Book Antiqua"/>
        </w:rPr>
        <w:t xml:space="preserve">) which provided a statutory scheme for such prisoners was repealed. The new statutory scheme in the Criminal Justice (Mandatory Life Imprisonment) Act 2022 </w:t>
      </w:r>
      <w:r w:rsidR="00694940" w:rsidRPr="00D87CF5">
        <w:rPr>
          <w:rFonts w:ascii="Book Antiqua" w:hAnsi="Book Antiqua"/>
        </w:rPr>
        <w:t xml:space="preserve">(the “CJ (MLI) Act 2022”) </w:t>
      </w:r>
      <w:r w:rsidR="00D90526" w:rsidRPr="00D87CF5">
        <w:rPr>
          <w:rFonts w:ascii="Book Antiqua" w:hAnsi="Book Antiqua"/>
        </w:rPr>
        <w:t>provides for a system whereby the Secretary of State for the Home Department sets the tariff period, after receiving advice from the trial judge and the Lord Chief Justice. The convicted person is not entitled to see that advice but is informed of the Home Secretary’s decision. The statute provides that that decision “</w:t>
      </w:r>
      <w:r w:rsidR="00D90526" w:rsidRPr="00D87CF5">
        <w:rPr>
          <w:rFonts w:ascii="Book Antiqua" w:hAnsi="Book Antiqua"/>
          <w:i/>
          <w:iCs/>
        </w:rPr>
        <w:t>shall not be subject to review or appeal in any court</w:t>
      </w:r>
      <w:r w:rsidR="00626318">
        <w:rPr>
          <w:rFonts w:ascii="Book Antiqua" w:hAnsi="Book Antiqua"/>
          <w:i/>
          <w:iCs/>
        </w:rPr>
        <w:t xml:space="preserve"> </w:t>
      </w:r>
      <w:r w:rsidR="00626318" w:rsidRPr="00626318">
        <w:rPr>
          <w:rFonts w:ascii="Book Antiqua" w:hAnsi="Book Antiqua"/>
          <w:i/>
          <w:iCs/>
        </w:rPr>
        <w:t>by reason of (</w:t>
      </w:r>
      <w:proofErr w:type="spellStart"/>
      <w:r w:rsidR="00626318" w:rsidRPr="00626318">
        <w:rPr>
          <w:rFonts w:ascii="Book Antiqua" w:hAnsi="Book Antiqua"/>
          <w:i/>
          <w:iCs/>
        </w:rPr>
        <w:t>i</w:t>
      </w:r>
      <w:proofErr w:type="spellEnd"/>
      <w:r w:rsidR="00626318" w:rsidRPr="00626318">
        <w:rPr>
          <w:rFonts w:ascii="Book Antiqua" w:hAnsi="Book Antiqua"/>
          <w:i/>
          <w:iCs/>
        </w:rPr>
        <w:t>) lack of jurisdiction, (ii) irregularity, (iii) error of law (iv) breach of natural justice, or (v) any other matter</w:t>
      </w:r>
      <w:r w:rsidR="00626318" w:rsidRPr="00626318">
        <w:rPr>
          <w:rFonts w:ascii="Book Antiqua" w:hAnsi="Book Antiqua"/>
          <w:i/>
          <w:iCs/>
        </w:rPr>
        <w:t>.</w:t>
      </w:r>
      <w:r w:rsidR="00D90526" w:rsidRPr="00626318">
        <w:rPr>
          <w:rFonts w:ascii="Book Antiqua" w:hAnsi="Book Antiqua"/>
          <w:i/>
          <w:iCs/>
        </w:rPr>
        <w:t>”</w:t>
      </w:r>
      <w:r w:rsidR="00D90526" w:rsidRPr="00D87CF5">
        <w:rPr>
          <w:rFonts w:ascii="Book Antiqua" w:hAnsi="Book Antiqua"/>
        </w:rPr>
        <w:t xml:space="preserve"> (section 3 CJ (MLI) Act 20</w:t>
      </w:r>
      <w:r w:rsidR="00694940" w:rsidRPr="00D87CF5">
        <w:rPr>
          <w:rFonts w:ascii="Book Antiqua" w:hAnsi="Book Antiqua"/>
        </w:rPr>
        <w:t>2</w:t>
      </w:r>
      <w:r w:rsidR="00D90526" w:rsidRPr="00D87CF5">
        <w:rPr>
          <w:rFonts w:ascii="Book Antiqua" w:hAnsi="Book Antiqua"/>
        </w:rPr>
        <w:t>2).</w:t>
      </w:r>
    </w:p>
    <w:p w14:paraId="1FDC24F4" w14:textId="77777777" w:rsidR="00B9739C" w:rsidRPr="00D87CF5" w:rsidRDefault="00B9739C" w:rsidP="00DB0986">
      <w:pPr>
        <w:jc w:val="both"/>
        <w:rPr>
          <w:rFonts w:ascii="Book Antiqua" w:hAnsi="Book Antiqua"/>
        </w:rPr>
      </w:pPr>
    </w:p>
    <w:p w14:paraId="32C31D79" w14:textId="65947A94" w:rsidR="00D90526" w:rsidRPr="00D87CF5" w:rsidRDefault="00D90526" w:rsidP="00B9739C">
      <w:pPr>
        <w:pStyle w:val="ListParagraph"/>
        <w:numPr>
          <w:ilvl w:val="0"/>
          <w:numId w:val="1"/>
        </w:numPr>
        <w:jc w:val="both"/>
        <w:rPr>
          <w:rFonts w:ascii="Book Antiqua" w:hAnsi="Book Antiqua"/>
        </w:rPr>
      </w:pPr>
      <w:r w:rsidRPr="00D87CF5">
        <w:rPr>
          <w:rFonts w:ascii="Book Antiqua" w:hAnsi="Book Antiqua"/>
        </w:rPr>
        <w:t>Me</w:t>
      </w:r>
      <w:r w:rsidR="00931B1F" w:rsidRPr="00D87CF5">
        <w:rPr>
          <w:rFonts w:ascii="Book Antiqua" w:hAnsi="Book Antiqua"/>
        </w:rPr>
        <w:t xml:space="preserve">ursault is convicted of murdering a </w:t>
      </w:r>
      <w:r w:rsidR="003E23F9" w:rsidRPr="00D87CF5">
        <w:rPr>
          <w:rFonts w:ascii="Book Antiqua" w:hAnsi="Book Antiqua"/>
        </w:rPr>
        <w:t xml:space="preserve">young </w:t>
      </w:r>
      <w:r w:rsidR="004F1F95" w:rsidRPr="00D87CF5">
        <w:rPr>
          <w:rFonts w:ascii="Book Antiqua" w:hAnsi="Book Antiqua"/>
        </w:rPr>
        <w:t>black man</w:t>
      </w:r>
      <w:r w:rsidR="00931B1F" w:rsidRPr="00D87CF5">
        <w:rPr>
          <w:rFonts w:ascii="Book Antiqua" w:hAnsi="Book Antiqua"/>
        </w:rPr>
        <w:t>, after a fight in a queue for a taxi,</w:t>
      </w:r>
      <w:r w:rsidR="00E8607C" w:rsidRPr="00D87CF5">
        <w:rPr>
          <w:rFonts w:ascii="Book Antiqua" w:hAnsi="Book Antiqua"/>
        </w:rPr>
        <w:t xml:space="preserve"> </w:t>
      </w:r>
      <w:r w:rsidR="00931B1F" w:rsidRPr="00D87CF5">
        <w:rPr>
          <w:rFonts w:ascii="Book Antiqua" w:hAnsi="Book Antiqua"/>
        </w:rPr>
        <w:t>in an area of high racial volatility and sentenced to life imprisonment after a trial which aroused strong feelings of revulsion. The Home Secretary sets a tariff of 40 years imprisonment; she reveals in Parliament that</w:t>
      </w:r>
      <w:r w:rsidR="00653D79" w:rsidRPr="00D87CF5">
        <w:rPr>
          <w:rFonts w:ascii="Book Antiqua" w:hAnsi="Book Antiqua"/>
        </w:rPr>
        <w:t>, as a member of a Government which listens to the views of the people, she has imposed a tariff which</w:t>
      </w:r>
      <w:r w:rsidR="00931B1F" w:rsidRPr="00D87CF5">
        <w:rPr>
          <w:rFonts w:ascii="Book Antiqua" w:hAnsi="Book Antiqua"/>
        </w:rPr>
        <w:t xml:space="preserve"> is considerably in excess of th</w:t>
      </w:r>
      <w:r w:rsidR="00653D79" w:rsidRPr="00D87CF5">
        <w:rPr>
          <w:rFonts w:ascii="Book Antiqua" w:hAnsi="Book Antiqua"/>
        </w:rPr>
        <w:t xml:space="preserve">at </w:t>
      </w:r>
      <w:r w:rsidR="00931B1F" w:rsidRPr="00D87CF5">
        <w:rPr>
          <w:rFonts w:ascii="Book Antiqua" w:hAnsi="Book Antiqua"/>
        </w:rPr>
        <w:t>which would have been set under the old regime.</w:t>
      </w:r>
    </w:p>
    <w:p w14:paraId="0C1BA137" w14:textId="77777777" w:rsidR="00B9739C" w:rsidRPr="00D87CF5" w:rsidRDefault="00B9739C" w:rsidP="00DB0986">
      <w:pPr>
        <w:jc w:val="both"/>
        <w:rPr>
          <w:rFonts w:ascii="Book Antiqua" w:hAnsi="Book Antiqua"/>
        </w:rPr>
      </w:pPr>
    </w:p>
    <w:p w14:paraId="232D1C16" w14:textId="11A9C8AC" w:rsidR="008B7EBF" w:rsidRPr="00D87CF5" w:rsidRDefault="00931B1F" w:rsidP="00B9739C">
      <w:pPr>
        <w:pStyle w:val="ListParagraph"/>
        <w:numPr>
          <w:ilvl w:val="0"/>
          <w:numId w:val="1"/>
        </w:numPr>
        <w:jc w:val="both"/>
        <w:rPr>
          <w:rFonts w:ascii="Book Antiqua" w:hAnsi="Book Antiqua"/>
        </w:rPr>
      </w:pPr>
      <w:r w:rsidRPr="00D87CF5">
        <w:rPr>
          <w:rFonts w:ascii="Book Antiqua" w:hAnsi="Book Antiqua"/>
        </w:rPr>
        <w:t xml:space="preserve">Meursault seeks a judicial review of the Home Secretary’s decision. </w:t>
      </w:r>
      <w:r w:rsidR="008B7EBF" w:rsidRPr="00D87CF5">
        <w:rPr>
          <w:rFonts w:ascii="Book Antiqua" w:hAnsi="Book Antiqua"/>
        </w:rPr>
        <w:t>He argues that the right to a fair trial, formerly enshrined in Art.6 of the Convention</w:t>
      </w:r>
      <w:r w:rsidR="00653D79" w:rsidRPr="00D87CF5">
        <w:rPr>
          <w:rFonts w:ascii="Book Antiqua" w:hAnsi="Book Antiqua"/>
        </w:rPr>
        <w:t>,</w:t>
      </w:r>
      <w:r w:rsidR="008B7EBF" w:rsidRPr="00D87CF5">
        <w:rPr>
          <w:rFonts w:ascii="Book Antiqua" w:hAnsi="Book Antiqua"/>
        </w:rPr>
        <w:t xml:space="preserve"> is so embedded within the common law, coupled with the Secretary of State’s obligation to observe the “Rule of Law” </w:t>
      </w:r>
      <w:r w:rsidR="00653D79" w:rsidRPr="00D87CF5">
        <w:rPr>
          <w:rFonts w:ascii="Book Antiqua" w:hAnsi="Book Antiqua"/>
        </w:rPr>
        <w:t>, that he cannot be deprived of access to a court t</w:t>
      </w:r>
      <w:r w:rsidR="00B9739C" w:rsidRPr="00D87CF5">
        <w:rPr>
          <w:rFonts w:ascii="Book Antiqua" w:hAnsi="Book Antiqua"/>
        </w:rPr>
        <w:t xml:space="preserve">o </w:t>
      </w:r>
      <w:r w:rsidR="00653D79" w:rsidRPr="00D87CF5">
        <w:rPr>
          <w:rFonts w:ascii="Book Antiqua" w:hAnsi="Book Antiqua"/>
        </w:rPr>
        <w:t>determine his sentence.</w:t>
      </w:r>
    </w:p>
    <w:p w14:paraId="73A7EB19" w14:textId="77777777" w:rsidR="00B9739C" w:rsidRPr="00D87CF5" w:rsidRDefault="00B9739C" w:rsidP="00DB0986">
      <w:pPr>
        <w:jc w:val="both"/>
        <w:rPr>
          <w:rFonts w:ascii="Book Antiqua" w:hAnsi="Book Antiqua"/>
        </w:rPr>
      </w:pPr>
    </w:p>
    <w:p w14:paraId="691D4BAC" w14:textId="5B045E6C" w:rsidR="00D90526" w:rsidRPr="00D87CF5" w:rsidRDefault="00931B1F" w:rsidP="00B9739C">
      <w:pPr>
        <w:pStyle w:val="ListParagraph"/>
        <w:numPr>
          <w:ilvl w:val="0"/>
          <w:numId w:val="1"/>
        </w:numPr>
        <w:jc w:val="both"/>
        <w:rPr>
          <w:rFonts w:ascii="Book Antiqua" w:hAnsi="Book Antiqua"/>
        </w:rPr>
      </w:pPr>
      <w:r w:rsidRPr="00D87CF5">
        <w:rPr>
          <w:rFonts w:ascii="Book Antiqua" w:hAnsi="Book Antiqua"/>
        </w:rPr>
        <w:t xml:space="preserve">A Divisional Court (the Lord Chief Justice, Dee and </w:t>
      </w:r>
      <w:r w:rsidR="008B7EBF" w:rsidRPr="00D87CF5">
        <w:rPr>
          <w:rFonts w:ascii="Book Antiqua" w:hAnsi="Book Antiqua"/>
        </w:rPr>
        <w:t>Poppin JJ) rules that the withdrawal from the Convention, the repeal of the CJA 2003 and the terms of the CJ (MLI)Act 2022 are, in combination</w:t>
      </w:r>
      <w:r w:rsidR="00653D79" w:rsidRPr="00D87CF5">
        <w:rPr>
          <w:rFonts w:ascii="Book Antiqua" w:hAnsi="Book Antiqua"/>
        </w:rPr>
        <w:t>,</w:t>
      </w:r>
      <w:r w:rsidR="008B7EBF" w:rsidRPr="00D87CF5">
        <w:rPr>
          <w:rFonts w:ascii="Book Antiqua" w:hAnsi="Book Antiqua"/>
        </w:rPr>
        <w:t xml:space="preserve"> sufficient to oust the jurisdiction of the court. Parliament is sovereign and the Secretary of State is only answerable to Parliament for her decision.</w:t>
      </w:r>
    </w:p>
    <w:p w14:paraId="51A74F11" w14:textId="77777777" w:rsidR="00B9739C" w:rsidRPr="00D87CF5" w:rsidRDefault="00B9739C" w:rsidP="00DB0986">
      <w:pPr>
        <w:jc w:val="both"/>
        <w:rPr>
          <w:rFonts w:ascii="Book Antiqua" w:hAnsi="Book Antiqua"/>
        </w:rPr>
      </w:pPr>
    </w:p>
    <w:p w14:paraId="2E09E21E" w14:textId="344F0445" w:rsidR="008B7EBF" w:rsidRPr="00D87CF5" w:rsidRDefault="008B7EBF" w:rsidP="00B9739C">
      <w:pPr>
        <w:pStyle w:val="ListParagraph"/>
        <w:numPr>
          <w:ilvl w:val="0"/>
          <w:numId w:val="1"/>
        </w:numPr>
        <w:jc w:val="both"/>
        <w:rPr>
          <w:rFonts w:ascii="Book Antiqua" w:hAnsi="Book Antiqua"/>
        </w:rPr>
      </w:pPr>
      <w:r w:rsidRPr="00D87CF5">
        <w:rPr>
          <w:rFonts w:ascii="Book Antiqua" w:hAnsi="Book Antiqua"/>
        </w:rPr>
        <w:t>Since this is a “criminal cause or matter”, the appellant appeals directly to the Supreme Court, adopting the arguments he had previously deployed in the Divisional Court.</w:t>
      </w:r>
      <w:r w:rsidR="00904909" w:rsidRPr="00D87CF5">
        <w:rPr>
          <w:rFonts w:ascii="Book Antiqua" w:hAnsi="Book Antiqua"/>
        </w:rPr>
        <w:t xml:space="preserve"> </w:t>
      </w:r>
      <w:r w:rsidR="00AD01E0" w:rsidRPr="00D87CF5">
        <w:rPr>
          <w:rFonts w:ascii="Book Antiqua" w:hAnsi="Book Antiqua"/>
        </w:rPr>
        <w:t xml:space="preserve">The Supreme Court has given permission to appeal on </w:t>
      </w:r>
      <w:r w:rsidR="007254D0" w:rsidRPr="00D87CF5">
        <w:rPr>
          <w:rFonts w:ascii="Book Antiqua" w:hAnsi="Book Antiqua"/>
        </w:rPr>
        <w:t xml:space="preserve">two related but distinct </w:t>
      </w:r>
      <w:r w:rsidR="00AD01E0" w:rsidRPr="00D87CF5">
        <w:rPr>
          <w:rFonts w:ascii="Book Antiqua" w:hAnsi="Book Antiqua"/>
        </w:rPr>
        <w:t>grounds</w:t>
      </w:r>
      <w:r w:rsidR="00CD151F" w:rsidRPr="00D87CF5">
        <w:rPr>
          <w:rFonts w:ascii="Book Antiqua" w:hAnsi="Book Antiqua"/>
        </w:rPr>
        <w:t>, to be argued in October 2022</w:t>
      </w:r>
      <w:r w:rsidR="00904909" w:rsidRPr="00D87CF5">
        <w:rPr>
          <w:rFonts w:ascii="Book Antiqua" w:hAnsi="Book Antiqua"/>
        </w:rPr>
        <w:t>:</w:t>
      </w:r>
    </w:p>
    <w:p w14:paraId="48BCE51D" w14:textId="77777777" w:rsidR="00B9739C" w:rsidRPr="00D87CF5" w:rsidRDefault="00B9739C" w:rsidP="00DB0986">
      <w:pPr>
        <w:jc w:val="both"/>
        <w:rPr>
          <w:rFonts w:ascii="Book Antiqua" w:hAnsi="Book Antiqua"/>
        </w:rPr>
      </w:pPr>
    </w:p>
    <w:p w14:paraId="19B0D80E" w14:textId="57DF5A7D" w:rsidR="00904909" w:rsidRPr="00D87CF5" w:rsidRDefault="00CD151F" w:rsidP="00B9739C">
      <w:pPr>
        <w:pStyle w:val="ListParagraph"/>
        <w:numPr>
          <w:ilvl w:val="0"/>
          <w:numId w:val="2"/>
        </w:numPr>
        <w:jc w:val="both"/>
        <w:rPr>
          <w:rFonts w:ascii="Book Antiqua" w:hAnsi="Book Antiqua"/>
        </w:rPr>
      </w:pPr>
      <w:r w:rsidRPr="007C30EC">
        <w:rPr>
          <w:rFonts w:ascii="Book Antiqua" w:hAnsi="Book Antiqua"/>
          <w:b/>
          <w:bCs/>
        </w:rPr>
        <w:t>The limits on Parliamentary sovereignty</w:t>
      </w:r>
      <w:r w:rsidRPr="00D87CF5">
        <w:rPr>
          <w:rFonts w:ascii="Book Antiqua" w:hAnsi="Book Antiqua"/>
        </w:rPr>
        <w:t xml:space="preserve">:  </w:t>
      </w:r>
      <w:r w:rsidR="007254D0" w:rsidRPr="00D87CF5">
        <w:rPr>
          <w:rFonts w:ascii="Book Antiqua" w:hAnsi="Book Antiqua"/>
        </w:rPr>
        <w:t>As a matter of constitutional principle,</w:t>
      </w:r>
      <w:r w:rsidR="00721C5E" w:rsidRPr="00D87CF5">
        <w:rPr>
          <w:rFonts w:ascii="Book Antiqua" w:hAnsi="Book Antiqua"/>
        </w:rPr>
        <w:t xml:space="preserve"> </w:t>
      </w:r>
      <w:r w:rsidR="007254D0" w:rsidRPr="00D87CF5">
        <w:rPr>
          <w:rFonts w:ascii="Book Antiqua" w:hAnsi="Book Antiqua"/>
        </w:rPr>
        <w:t xml:space="preserve">the sovereignty of Parliament </w:t>
      </w:r>
      <w:r w:rsidR="00E8607C" w:rsidRPr="00D87CF5">
        <w:rPr>
          <w:rFonts w:ascii="Book Antiqua" w:hAnsi="Book Antiqua"/>
        </w:rPr>
        <w:t xml:space="preserve">cannot deprive the rule of law of all legal effect; both government and the </w:t>
      </w:r>
      <w:r w:rsidR="00B9739C" w:rsidRPr="00D87CF5">
        <w:rPr>
          <w:rFonts w:ascii="Book Antiqua" w:hAnsi="Book Antiqua"/>
        </w:rPr>
        <w:t xml:space="preserve">legislature </w:t>
      </w:r>
      <w:r w:rsidR="00E8607C" w:rsidRPr="00D87CF5">
        <w:rPr>
          <w:rFonts w:ascii="Book Antiqua" w:hAnsi="Book Antiqua"/>
        </w:rPr>
        <w:t>are bound to uphold that principle.</w:t>
      </w:r>
      <w:r w:rsidR="00721C5E" w:rsidRPr="00D87CF5">
        <w:rPr>
          <w:rFonts w:ascii="Book Antiqua" w:hAnsi="Book Antiqua"/>
        </w:rPr>
        <w:t xml:space="preserve"> It is for the courts and not Parliament to determine the identity and scope of the rule of law. Parliament cannot oust the right of access to the courts in matters </w:t>
      </w:r>
      <w:r w:rsidR="008B1572" w:rsidRPr="00D87CF5">
        <w:rPr>
          <w:rFonts w:ascii="Book Antiqua" w:hAnsi="Book Antiqua"/>
        </w:rPr>
        <w:t>relevant to that determination. The common law has shown itself able to develop so as to vindicate rights which, even though they may not have existed prior to 1998, are irremovably embedded in the notion of the rule of law</w:t>
      </w:r>
      <w:r w:rsidR="00B9739C" w:rsidRPr="00D87CF5">
        <w:rPr>
          <w:rFonts w:ascii="Book Antiqua" w:hAnsi="Book Antiqua"/>
        </w:rPr>
        <w:t>.</w:t>
      </w:r>
    </w:p>
    <w:p w14:paraId="23662B16" w14:textId="77777777" w:rsidR="00B9739C" w:rsidRPr="00D87CF5" w:rsidRDefault="00B9739C" w:rsidP="00DB0986">
      <w:pPr>
        <w:jc w:val="both"/>
        <w:rPr>
          <w:rFonts w:ascii="Book Antiqua" w:hAnsi="Book Antiqua"/>
        </w:rPr>
      </w:pPr>
    </w:p>
    <w:p w14:paraId="6EA3D837" w14:textId="6386A579" w:rsidR="00E8607C" w:rsidRDefault="00CD151F" w:rsidP="00DB0986">
      <w:pPr>
        <w:pStyle w:val="ListParagraph"/>
        <w:numPr>
          <w:ilvl w:val="0"/>
          <w:numId w:val="2"/>
        </w:numPr>
        <w:jc w:val="both"/>
        <w:rPr>
          <w:rFonts w:ascii="Book Antiqua" w:hAnsi="Book Antiqua"/>
        </w:rPr>
      </w:pPr>
      <w:r w:rsidRPr="007C30EC">
        <w:rPr>
          <w:rFonts w:ascii="Book Antiqua" w:hAnsi="Book Antiqua"/>
          <w:b/>
          <w:bCs/>
        </w:rPr>
        <w:t>Sentencing as part of a fair trial</w:t>
      </w:r>
      <w:r w:rsidRPr="00D87CF5">
        <w:rPr>
          <w:rFonts w:ascii="Book Antiqua" w:hAnsi="Book Antiqua"/>
        </w:rPr>
        <w:t>:</w:t>
      </w:r>
      <w:r w:rsidRPr="00D87CF5">
        <w:rPr>
          <w:rFonts w:ascii="Book Antiqua" w:hAnsi="Book Antiqua"/>
        </w:rPr>
        <w:tab/>
      </w:r>
      <w:r w:rsidR="008B1572" w:rsidRPr="00D87CF5">
        <w:rPr>
          <w:rFonts w:ascii="Book Antiqua" w:hAnsi="Book Antiqua"/>
        </w:rPr>
        <w:t>No-one can be deprived of so fundamental a right as t</w:t>
      </w:r>
      <w:r w:rsidR="00E8607C" w:rsidRPr="00D87CF5">
        <w:rPr>
          <w:rFonts w:ascii="Book Antiqua" w:hAnsi="Book Antiqua"/>
        </w:rPr>
        <w:t>he right to a fair trial</w:t>
      </w:r>
      <w:r w:rsidR="008B1572" w:rsidRPr="00D87CF5">
        <w:rPr>
          <w:rFonts w:ascii="Book Antiqua" w:hAnsi="Book Antiqua"/>
        </w:rPr>
        <w:t>.</w:t>
      </w:r>
      <w:r w:rsidR="00E8607C" w:rsidRPr="00D87CF5">
        <w:rPr>
          <w:rFonts w:ascii="Book Antiqua" w:hAnsi="Book Antiqua"/>
        </w:rPr>
        <w:t xml:space="preserve"> Sentencing by an independent tribunal is an integral part of that right. The power of the Secretary of State to set a minimum period deprives the appellant of that right.</w:t>
      </w:r>
    </w:p>
    <w:p w14:paraId="38144A50" w14:textId="77777777" w:rsidR="003846C9" w:rsidRPr="003846C9" w:rsidRDefault="003846C9" w:rsidP="003846C9">
      <w:pPr>
        <w:pStyle w:val="ListParagraph"/>
        <w:rPr>
          <w:rFonts w:ascii="Book Antiqua" w:hAnsi="Book Antiqua"/>
        </w:rPr>
      </w:pPr>
    </w:p>
    <w:p w14:paraId="4901DB36" w14:textId="77777777" w:rsidR="007C30EC" w:rsidRDefault="007C30EC" w:rsidP="003846C9">
      <w:pPr>
        <w:pStyle w:val="ListParagraph"/>
        <w:ind w:left="1440"/>
        <w:jc w:val="right"/>
        <w:rPr>
          <w:rFonts w:ascii="Book Antiqua" w:hAnsi="Book Antiqua"/>
          <w:i/>
          <w:iCs/>
        </w:rPr>
      </w:pPr>
    </w:p>
    <w:p w14:paraId="3F86F93C" w14:textId="5663AD72" w:rsidR="003846C9" w:rsidRPr="003846C9" w:rsidRDefault="003846C9" w:rsidP="003846C9">
      <w:pPr>
        <w:pStyle w:val="ListParagraph"/>
        <w:ind w:left="1440"/>
        <w:jc w:val="right"/>
        <w:rPr>
          <w:rFonts w:ascii="Book Antiqua" w:hAnsi="Book Antiqua"/>
          <w:i/>
          <w:iCs/>
        </w:rPr>
      </w:pPr>
      <w:r w:rsidRPr="003846C9">
        <w:rPr>
          <w:rFonts w:ascii="Book Antiqua" w:hAnsi="Book Antiqua"/>
          <w:i/>
          <w:iCs/>
        </w:rPr>
        <w:t>Moot problem set</w:t>
      </w:r>
      <w:r>
        <w:rPr>
          <w:rFonts w:ascii="Book Antiqua" w:hAnsi="Book Antiqua"/>
          <w:i/>
          <w:iCs/>
        </w:rPr>
        <w:t xml:space="preserve"> by</w:t>
      </w:r>
      <w:r w:rsidRPr="003846C9">
        <w:rPr>
          <w:rFonts w:ascii="Book Antiqua" w:hAnsi="Book Antiqua"/>
          <w:i/>
          <w:iCs/>
        </w:rPr>
        <w:t>:</w:t>
      </w:r>
    </w:p>
    <w:p w14:paraId="7E7FE9FE" w14:textId="40D136CD" w:rsidR="003846C9" w:rsidRDefault="003846C9" w:rsidP="003846C9">
      <w:pPr>
        <w:pStyle w:val="ListParagraph"/>
        <w:ind w:left="1440"/>
        <w:jc w:val="right"/>
        <w:rPr>
          <w:rFonts w:ascii="Book Antiqua" w:hAnsi="Book Antiqua"/>
          <w:b/>
          <w:bCs/>
        </w:rPr>
      </w:pPr>
      <w:r w:rsidRPr="003846C9">
        <w:rPr>
          <w:rFonts w:ascii="Book Antiqua" w:hAnsi="Book Antiqua"/>
          <w:b/>
          <w:bCs/>
        </w:rPr>
        <w:t>Master Alan Moses</w:t>
      </w:r>
    </w:p>
    <w:p w14:paraId="35303901" w14:textId="4917729D" w:rsidR="003846C9" w:rsidRPr="003846C9" w:rsidRDefault="003846C9" w:rsidP="003846C9">
      <w:pPr>
        <w:pStyle w:val="ListParagraph"/>
        <w:ind w:left="1440"/>
        <w:jc w:val="right"/>
        <w:rPr>
          <w:rFonts w:ascii="Book Antiqua" w:hAnsi="Book Antiqua"/>
          <w:b/>
          <w:bCs/>
        </w:rPr>
      </w:pPr>
      <w:r>
        <w:rPr>
          <w:rFonts w:ascii="Book Antiqua" w:hAnsi="Book Antiqua"/>
          <w:b/>
          <w:bCs/>
        </w:rPr>
        <w:t>October 2020</w:t>
      </w:r>
    </w:p>
    <w:sectPr w:rsidR="003846C9" w:rsidRPr="003846C9" w:rsidSect="00B444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82F78"/>
    <w:multiLevelType w:val="hybridMultilevel"/>
    <w:tmpl w:val="B2AE6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4178B"/>
    <w:multiLevelType w:val="hybridMultilevel"/>
    <w:tmpl w:val="18F488DA"/>
    <w:lvl w:ilvl="0" w:tplc="2D42A2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19"/>
    <w:rsid w:val="00181655"/>
    <w:rsid w:val="001C6B35"/>
    <w:rsid w:val="002746FD"/>
    <w:rsid w:val="002C0C19"/>
    <w:rsid w:val="003846C9"/>
    <w:rsid w:val="003E23F9"/>
    <w:rsid w:val="004F1F95"/>
    <w:rsid w:val="005C321E"/>
    <w:rsid w:val="00626318"/>
    <w:rsid w:val="00653D79"/>
    <w:rsid w:val="00694940"/>
    <w:rsid w:val="00721C5E"/>
    <w:rsid w:val="007254D0"/>
    <w:rsid w:val="007912E3"/>
    <w:rsid w:val="007C30EC"/>
    <w:rsid w:val="008B1572"/>
    <w:rsid w:val="008B7EBF"/>
    <w:rsid w:val="00904909"/>
    <w:rsid w:val="00931B1F"/>
    <w:rsid w:val="009F54FF"/>
    <w:rsid w:val="00AD01E0"/>
    <w:rsid w:val="00B44435"/>
    <w:rsid w:val="00B9739C"/>
    <w:rsid w:val="00BA1254"/>
    <w:rsid w:val="00C33084"/>
    <w:rsid w:val="00CD151F"/>
    <w:rsid w:val="00CF2F7A"/>
    <w:rsid w:val="00D61F43"/>
    <w:rsid w:val="00D87CF5"/>
    <w:rsid w:val="00D90526"/>
    <w:rsid w:val="00DB0986"/>
    <w:rsid w:val="00E33C84"/>
    <w:rsid w:val="00E8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C776"/>
  <w15:chartTrackingRefBased/>
  <w15:docId w15:val="{F1E5DC11-7198-1A41-A2C8-3B87ECB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C19"/>
    <w:pPr>
      <w:ind w:left="720"/>
      <w:contextualSpacing/>
    </w:pPr>
  </w:style>
  <w:style w:type="paragraph" w:styleId="BalloonText">
    <w:name w:val="Balloon Text"/>
    <w:basedOn w:val="Normal"/>
    <w:link w:val="BalloonTextChar"/>
    <w:uiPriority w:val="99"/>
    <w:semiHidden/>
    <w:unhideWhenUsed/>
    <w:rsid w:val="006949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940"/>
    <w:rPr>
      <w:rFonts w:ascii="Times New Roman" w:hAnsi="Times New Roman" w:cs="Times New Roman"/>
      <w:sz w:val="18"/>
      <w:szCs w:val="18"/>
    </w:rPr>
  </w:style>
  <w:style w:type="table" w:styleId="TableGrid">
    <w:name w:val="Table Grid"/>
    <w:basedOn w:val="TableNormal"/>
    <w:uiPriority w:val="39"/>
    <w:rsid w:val="00DB098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Moses</dc:creator>
  <cp:keywords/>
  <dc:description/>
  <cp:lastModifiedBy>Angus McCullough QC</cp:lastModifiedBy>
  <cp:revision>7</cp:revision>
  <dcterms:created xsi:type="dcterms:W3CDTF">2020-10-02T16:27:00Z</dcterms:created>
  <dcterms:modified xsi:type="dcterms:W3CDTF">2020-10-05T09:50:00Z</dcterms:modified>
</cp:coreProperties>
</file>