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40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5624"/>
        <w:gridCol w:w="5838"/>
        <w:gridCol w:w="236"/>
        <w:gridCol w:w="236"/>
      </w:tblGrid>
      <w:tr w:rsidR="00672CCF" w14:paraId="50D4B8D1" w14:textId="77777777" w:rsidTr="00AA6C47">
        <w:trPr>
          <w:trHeight w:val="142"/>
        </w:trPr>
        <w:tc>
          <w:tcPr>
            <w:tcW w:w="236" w:type="dxa"/>
          </w:tcPr>
          <w:p w14:paraId="42232D05" w14:textId="77777777" w:rsidR="00672CCF" w:rsidRPr="008654DA" w:rsidRDefault="00672CCF" w:rsidP="00A51750">
            <w:pPr>
              <w:ind w:right="-256"/>
              <w:rPr>
                <w:sz w:val="12"/>
                <w:szCs w:val="12"/>
              </w:rPr>
            </w:pPr>
          </w:p>
        </w:tc>
        <w:tc>
          <w:tcPr>
            <w:tcW w:w="236" w:type="dxa"/>
          </w:tcPr>
          <w:p w14:paraId="5A82F4AD" w14:textId="77777777" w:rsidR="00672CCF" w:rsidRPr="008654DA" w:rsidRDefault="00672CCF" w:rsidP="00481849">
            <w:pPr>
              <w:ind w:right="176"/>
              <w:rPr>
                <w:sz w:val="12"/>
                <w:szCs w:val="12"/>
              </w:rPr>
            </w:pPr>
          </w:p>
        </w:tc>
        <w:tc>
          <w:tcPr>
            <w:tcW w:w="11462" w:type="dxa"/>
            <w:gridSpan w:val="2"/>
          </w:tcPr>
          <w:p w14:paraId="6CF18535" w14:textId="77777777" w:rsidR="00672CCF" w:rsidRPr="008654DA" w:rsidRDefault="00672CCF" w:rsidP="00481849">
            <w:pPr>
              <w:ind w:right="176"/>
              <w:rPr>
                <w:sz w:val="12"/>
                <w:szCs w:val="12"/>
              </w:rPr>
            </w:pPr>
          </w:p>
        </w:tc>
        <w:tc>
          <w:tcPr>
            <w:tcW w:w="236" w:type="dxa"/>
          </w:tcPr>
          <w:p w14:paraId="089045D5" w14:textId="77777777" w:rsidR="00672CCF" w:rsidRPr="008654DA" w:rsidRDefault="00672CCF" w:rsidP="00EE5DF4">
            <w:pPr>
              <w:ind w:right="176"/>
              <w:rPr>
                <w:sz w:val="12"/>
                <w:szCs w:val="12"/>
              </w:rPr>
            </w:pPr>
          </w:p>
        </w:tc>
        <w:tc>
          <w:tcPr>
            <w:tcW w:w="236" w:type="dxa"/>
          </w:tcPr>
          <w:p w14:paraId="21D3AE5C" w14:textId="77777777" w:rsidR="00672CCF" w:rsidRPr="008654DA" w:rsidRDefault="00672CCF" w:rsidP="00EE5DF4">
            <w:pPr>
              <w:ind w:right="176"/>
              <w:rPr>
                <w:sz w:val="12"/>
                <w:szCs w:val="12"/>
              </w:rPr>
            </w:pPr>
          </w:p>
        </w:tc>
      </w:tr>
      <w:tr w:rsidR="00672CCF" w14:paraId="16D8ACE9" w14:textId="77777777" w:rsidTr="00AA6C47">
        <w:trPr>
          <w:trHeight w:val="2412"/>
        </w:trPr>
        <w:tc>
          <w:tcPr>
            <w:tcW w:w="236" w:type="dxa"/>
            <w:shd w:val="clear" w:color="auto" w:fill="FFFFFF" w:themeFill="background1"/>
            <w:vAlign w:val="bottom"/>
          </w:tcPr>
          <w:p w14:paraId="0BC30903" w14:textId="77777777" w:rsidR="00672CCF" w:rsidRPr="008B7C1F" w:rsidRDefault="00672CCF" w:rsidP="008654DA">
            <w:pPr>
              <w:ind w:left="460" w:right="-1972"/>
              <w:jc w:val="center"/>
              <w:rPr>
                <w:color w:val="C00000"/>
              </w:rPr>
            </w:pPr>
          </w:p>
        </w:tc>
        <w:tc>
          <w:tcPr>
            <w:tcW w:w="236" w:type="dxa"/>
            <w:shd w:val="clear" w:color="auto" w:fill="FFFFFF" w:themeFill="background1"/>
            <w:vAlign w:val="bottom"/>
          </w:tcPr>
          <w:p w14:paraId="543D7ED2" w14:textId="77777777" w:rsidR="00672CCF" w:rsidRPr="008B7C1F" w:rsidRDefault="00672CCF" w:rsidP="008654DA">
            <w:pPr>
              <w:ind w:left="-250" w:right="-216" w:firstLine="250"/>
              <w:jc w:val="center"/>
              <w:rPr>
                <w:noProof/>
                <w:color w:val="C00000"/>
                <w:lang w:eastAsia="en-GB"/>
              </w:rPr>
            </w:pPr>
          </w:p>
        </w:tc>
        <w:tc>
          <w:tcPr>
            <w:tcW w:w="11462" w:type="dxa"/>
            <w:gridSpan w:val="2"/>
            <w:shd w:val="clear" w:color="auto" w:fill="FFFFFF" w:themeFill="background1"/>
            <w:vAlign w:val="center"/>
          </w:tcPr>
          <w:p w14:paraId="56372A1C" w14:textId="77777777" w:rsidR="00672CCF" w:rsidRPr="008B7C1F" w:rsidRDefault="0022609A" w:rsidP="00A5605F">
            <w:pPr>
              <w:ind w:left="-250" w:right="176" w:firstLine="250"/>
              <w:jc w:val="center"/>
              <w:rPr>
                <w:color w:val="C00000"/>
              </w:rPr>
            </w:pPr>
            <w:r>
              <w:rPr>
                <w:noProof/>
                <w:color w:val="C00000"/>
                <w:lang w:eastAsia="en-GB"/>
              </w:rPr>
              <mc:AlternateContent>
                <mc:Choice Requires="wps">
                  <w:drawing>
                    <wp:anchor distT="0" distB="0" distL="114300" distR="114300" simplePos="0" relativeHeight="251660288" behindDoc="0" locked="0" layoutInCell="1" allowOverlap="1" wp14:anchorId="3156B412" wp14:editId="6646EEA7">
                      <wp:simplePos x="0" y="0"/>
                      <wp:positionH relativeFrom="column">
                        <wp:posOffset>3591560</wp:posOffset>
                      </wp:positionH>
                      <wp:positionV relativeFrom="paragraph">
                        <wp:posOffset>289560</wp:posOffset>
                      </wp:positionV>
                      <wp:extent cx="350520" cy="0"/>
                      <wp:effectExtent l="0" t="0" r="30480" b="19050"/>
                      <wp:wrapNone/>
                      <wp:docPr id="18" name="Straight Connector 18"/>
                      <wp:cNvGraphicFramePr/>
                      <a:graphic xmlns:a="http://schemas.openxmlformats.org/drawingml/2006/main">
                        <a:graphicData uri="http://schemas.microsoft.com/office/word/2010/wordprocessingShape">
                          <wps:wsp>
                            <wps:cNvCnPr/>
                            <wps:spPr>
                              <a:xfrm flipV="1">
                                <a:off x="0" y="0"/>
                                <a:ext cx="350520" cy="0"/>
                              </a:xfrm>
                              <a:prstGeom prst="line">
                                <a:avLst/>
                              </a:prstGeom>
                              <a:ln w="19050">
                                <a:solidFill>
                                  <a:srgbClr val="CC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89B9B6" id="Straight Connector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8pt,22.8pt" to="310.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JL5gEAABkEAAAOAAAAZHJzL2Uyb0RvYy54bWysU02P0zAQvSPxH6zcadJWRRA13UNWywVB&#10;xQJ31xknlvylsWnSf8/YabMLiANoL1bsmfdm3pvJ/m4ymp0Bg3K2KdarqmBgheuU7Zvi29eHN+8K&#10;FiK3HdfOQlNcIBR3h9ev9qOvYeMGpztARiQ21KNviiFGX5dlEAMYHlbOg6WgdGh4pCv2ZYd8JHaj&#10;y01VvS1Hh51HJyAEer2fg8Uh80sJIn6WMkBkuimot5hPzOcpneVhz+seuR+UuLbB/6MLw5WlogvV&#10;PY+c/UD1B5VRAl1wMq6EM6WTUgnIGkjNuvpNzePAPWQtZE7wi03h5WjFp/MRmepodjQpyw3N6DEi&#10;V/0QWeusJQcdMgqSU6MPNQFae8TrLfgjJtmTRMOkVv47EWUjSBqbss+XxWeYIhP0uN1Vuw1NQ9xC&#10;5cyQmDyG+AGcYemjKbSyyQFe8/PHEKkqpd5S0rO2bKSS76tdldOC06p7UFqnYMD+1GpkZ07Tb9vt&#10;tsoDJ4pnaXTTlniTuFlO/ooXDXOBLyDJIGp7FpZXExZaLgTYuE72ZCbKTjBJLSzAa2tpp/8GvOYn&#10;KOS1/RfwgsiVnY0L2CjrcDbm1+pxurUs5/ybA7PuZMHJdZc86GwN7V9WeP1X0oI/v2f40x99+AkA&#10;AP//AwBQSwMEFAAGAAgAAAAhAEIQj8zfAAAACQEAAA8AAABkcnMvZG93bnJldi54bWxMj81OwzAQ&#10;hO9IvIO1SNyoQ6FRFeJUFb+VyqUpCI5uvCRR47UVO214e7biAKfV7oxmv8kXo+3EAfvQOlJwPUlA&#10;IFXOtFQreNs+Xc1BhKjJ6M4RKvjGAIvi/CzXmXFH2uChjLXgEAqZVtDE6DMpQ9Wg1WHiPBJrX663&#10;OvLa19L0+sjhtpPTJEml1S3xh0Z7vG+w2peDVSCfw3z5uvoc1sPHqnx49/sb//Ko1OXFuLwDEXGM&#10;f2Y44TM6FMy0cwOZIDoFs3SWslXB7WmyIZ0m3GX3e5BFLv83KH4AAAD//wMAUEsBAi0AFAAGAAgA&#10;AAAhALaDOJL+AAAA4QEAABMAAAAAAAAAAAAAAAAAAAAAAFtDb250ZW50X1R5cGVzXS54bWxQSwEC&#10;LQAUAAYACAAAACEAOP0h/9YAAACUAQAACwAAAAAAAAAAAAAAAAAvAQAAX3JlbHMvLnJlbHNQSwEC&#10;LQAUAAYACAAAACEAdZwSS+YBAAAZBAAADgAAAAAAAAAAAAAAAAAuAgAAZHJzL2Uyb0RvYy54bWxQ&#10;SwECLQAUAAYACAAAACEAQhCPzN8AAAAJAQAADwAAAAAAAAAAAAAAAABABAAAZHJzL2Rvd25yZXYu&#10;eG1sUEsFBgAAAAAEAAQA8wAAAEwFAAAAAA==&#10;" strokecolor="#c30" strokeweight="1.5pt"/>
                  </w:pict>
                </mc:Fallback>
              </mc:AlternateContent>
            </w:r>
            <w:r w:rsidR="00F65386">
              <w:rPr>
                <w:noProof/>
                <w:color w:val="C00000"/>
                <w:lang w:eastAsia="en-GB"/>
              </w:rPr>
              <mc:AlternateContent>
                <mc:Choice Requires="wps">
                  <w:drawing>
                    <wp:anchor distT="0" distB="0" distL="114300" distR="114300" simplePos="0" relativeHeight="251662336" behindDoc="0" locked="0" layoutInCell="1" allowOverlap="1" wp14:anchorId="4A3E6DE2" wp14:editId="580A628C">
                      <wp:simplePos x="0" y="0"/>
                      <wp:positionH relativeFrom="column">
                        <wp:posOffset>2602230</wp:posOffset>
                      </wp:positionH>
                      <wp:positionV relativeFrom="paragraph">
                        <wp:posOffset>1320800</wp:posOffset>
                      </wp:positionV>
                      <wp:extent cx="396240" cy="0"/>
                      <wp:effectExtent l="0" t="0" r="22860" b="19050"/>
                      <wp:wrapNone/>
                      <wp:docPr id="20" name="Straight Connector 20"/>
                      <wp:cNvGraphicFramePr/>
                      <a:graphic xmlns:a="http://schemas.openxmlformats.org/drawingml/2006/main">
                        <a:graphicData uri="http://schemas.microsoft.com/office/word/2010/wordprocessingShape">
                          <wps:wsp>
                            <wps:cNvCnPr/>
                            <wps:spPr>
                              <a:xfrm flipH="1" flipV="1">
                                <a:off x="0" y="0"/>
                                <a:ext cx="396240" cy="0"/>
                              </a:xfrm>
                              <a:prstGeom prst="line">
                                <a:avLst/>
                              </a:prstGeom>
                              <a:ln w="19050">
                                <a:solidFill>
                                  <a:srgbClr val="CC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F52D7" id="Straight Connector 2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9pt,104pt" to="236.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OU7AEAACMEAAAOAAAAZHJzL2Uyb0RvYy54bWysU02P0zAQvSPxHyzfadIWVmzUdA9dLRwQ&#10;VCxwd51xYslfGpum/feMnTa7gDiAuFi2Z96bec/jzd3JGnYEjNq7li8XNWfgpO+061v+9cvDq7ec&#10;xSRcJ4x30PIzRH63ffliM4YGVn7wpgNkROJiM4aWDymFpqqiHMCKuPABHAWVRysSHbGvOhQjsVtT&#10;rer6pho9dgG9hBjp9n4K8m3hVwpk+qRUhMRMy6m3VFYs6yGv1XYjmh5FGLS8tCH+oQsrtKOiM9W9&#10;SIJ9R/0bldUSffQqLaS3lVdKSygaSM2y/kXN4yACFC1kTgyzTfH/0cqPxz0y3bV8RfY4YemNHhMK&#10;3Q+J7bxz5KBHRkFyagyxIcDO7fFyimGPWfZJoWXK6PCehoCX3be8yzESyU7F8fPsOJwSk3S5vr1Z&#10;vabC8hqqJq6MCxjTO/CW5U3LjXbZC9GI44eYqD6lXlPytXFspJK39Zu6pEVvdPegjcnBiP1hZ5Ad&#10;Bc3Bbrde10UQUTxLo5NxxJtlTsLKLp0NTAU+gyKrqO1JWBlSmGmFlODSMhtVmCg7wxS1MAMvreXp&#10;/hPwkp+hUAb4b8AzolT2Ls1gq53HyZifq6fTtWU15V8dmHRnCw6+O5cnL9bQJBaFl1+TR/35ucCf&#10;/vb2BwAAAP//AwBQSwMEFAAGAAgAAAAhAL9giSTeAAAACwEAAA8AAABkcnMvZG93bnJldi54bWxM&#10;j8FOwzAQRO9I/IO1SNyoXTeUNsSpEIJKCC4UPsCNt0nUeB3Fbhr+nkVCguPsjGbfFJvJd2LEIbaB&#10;DMxnCgRSFVxLtYHPj+ebFYiYLDnbBUIDXxhhU15eFDZ34UzvOO5SLbiEYm4NNCn1uZSxatDbOAs9&#10;EnuHMHibWA61dIM9c7nvpFZqKb1tiT80tsfHBqvj7uQNvKxv54fFq8a343aRxWzcLuOTNub6anq4&#10;B5FwSn9h+MFndCiZaR9O5KLoDGRqzejJgFYrHsWJ7E5rEPvfiywL+X9D+Q0AAP//AwBQSwECLQAU&#10;AAYACAAAACEAtoM4kv4AAADhAQAAEwAAAAAAAAAAAAAAAAAAAAAAW0NvbnRlbnRfVHlwZXNdLnht&#10;bFBLAQItABQABgAIAAAAIQA4/SH/1gAAAJQBAAALAAAAAAAAAAAAAAAAAC8BAABfcmVscy8ucmVs&#10;c1BLAQItABQABgAIAAAAIQB9tzOU7AEAACMEAAAOAAAAAAAAAAAAAAAAAC4CAABkcnMvZTJvRG9j&#10;LnhtbFBLAQItABQABgAIAAAAIQC/YIkk3gAAAAsBAAAPAAAAAAAAAAAAAAAAAEYEAABkcnMvZG93&#10;bnJldi54bWxQSwUGAAAAAAQABADzAAAAUQUAAAAA&#10;" strokecolor="#c30" strokeweight="1.5pt"/>
                  </w:pict>
                </mc:Fallback>
              </mc:AlternateContent>
            </w:r>
            <w:r w:rsidR="00F65386">
              <w:rPr>
                <w:noProof/>
                <w:color w:val="C00000"/>
                <w:lang w:eastAsia="en-GB"/>
              </w:rPr>
              <mc:AlternateContent>
                <mc:Choice Requires="wps">
                  <w:drawing>
                    <wp:anchor distT="0" distB="0" distL="114300" distR="114300" simplePos="0" relativeHeight="251663360" behindDoc="0" locked="0" layoutInCell="1" allowOverlap="1" wp14:anchorId="217380D5" wp14:editId="67223B66">
                      <wp:simplePos x="0" y="0"/>
                      <wp:positionH relativeFrom="column">
                        <wp:posOffset>3623310</wp:posOffset>
                      </wp:positionH>
                      <wp:positionV relativeFrom="paragraph">
                        <wp:posOffset>1313180</wp:posOffset>
                      </wp:positionV>
                      <wp:extent cx="396240" cy="0"/>
                      <wp:effectExtent l="0" t="0" r="22860" b="19050"/>
                      <wp:wrapNone/>
                      <wp:docPr id="21" name="Straight Connector 21"/>
                      <wp:cNvGraphicFramePr/>
                      <a:graphic xmlns:a="http://schemas.openxmlformats.org/drawingml/2006/main">
                        <a:graphicData uri="http://schemas.microsoft.com/office/word/2010/wordprocessingShape">
                          <wps:wsp>
                            <wps:cNvCnPr/>
                            <wps:spPr>
                              <a:xfrm flipV="1">
                                <a:off x="0" y="0"/>
                                <a:ext cx="396240" cy="0"/>
                              </a:xfrm>
                              <a:prstGeom prst="line">
                                <a:avLst/>
                              </a:prstGeom>
                              <a:ln w="19050">
                                <a:solidFill>
                                  <a:srgbClr val="CC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B90F23"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3pt,103.4pt" to="316.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46AEAABkEAAAOAAAAZHJzL2Uyb0RvYy54bWysU8GO0zAQvSPxD5bvNGkLKzZquoeulguC&#10;igXurmMnlmyPNTZN+/eMnTa7gDiw4mLFnnlv5r2ZbO5OzrKjwmjAt3y5qDlTXkJnfN/yb18f3rzn&#10;LCbhO2HBq5afVeR329evNmNo1AoGsJ1CRiQ+NmNo+ZBSaKoqykE5ERcQlKegBnQi0RX7qkMxEruz&#10;1aqub6oRsAsIUsVIr/dTkG8Lv9ZKps9aR5WYbTn1lsqJ5Tzks9puRNOjCIORlzbEC7pwwngqOlPd&#10;iyTYDzR/UDkjESLotJDgKtDaSFU0kJpl/Zuax0EEVbSQOTHMNsX/Rys/HffITNfy1ZIzLxzN6DGh&#10;MP2Q2A68JwcBGQXJqTHEhgA7v8fLLYY9ZtknjY5pa8J3WoJiBEljp+LzefZZnRKT9Li+vVm9pWnI&#10;a6iaGDJTwJg+KHAsf7TcGp8dEI04foyJqlLqNSU/W89GKnlbv6tLWgRrugdjbQ5G7A87i+woaPq7&#10;3Xpdl4ETxbM0ullPvFncJKd8pbNVU4EvSpNB1PYkrKymmmmFlMqnYk9houwM09TCDLy0lnf6b8BL&#10;foaqsrb/Ap4RpTL4NIOd8YCTMb9WT6dry3rKvzow6c4WHKA7l0EXa2j/ivmXfyUv+PN7gT/90duf&#10;AAAA//8DAFBLAwQUAAYACAAAACEApJfGrt8AAAALAQAADwAAAGRycy9kb3ducmV2LnhtbEyPTUvD&#10;QBCG74L/YRnBm921wVhiNqX4WdCLaUWP22RMQrOzS3bTxn/vCIIeZ+bhnefNl5PtxQGH0DnScDlT&#10;IJAqV3fUaNhuHi4WIEI0VJveEWr4wgDL4vQkN1ntjvSKhzI2gkMoZEZDG6PPpAxVi9aEmfNIfPt0&#10;gzWRx6GR9WCOHG57OVcqldZ0xB9a4/G2xWpfjlaDfAyL1cv6Y3we39fl3ZvfJ/7pXuvzs2l1AyLi&#10;FP9g+NFndSjYaedGqoPoNVxdq5RRDXOVcgcm0iThdrvfjSxy+b9D8Q0AAP//AwBQSwECLQAUAAYA&#10;CAAAACEAtoM4kv4AAADhAQAAEwAAAAAAAAAAAAAAAAAAAAAAW0NvbnRlbnRfVHlwZXNdLnhtbFBL&#10;AQItABQABgAIAAAAIQA4/SH/1gAAAJQBAAALAAAAAAAAAAAAAAAAAC8BAABfcmVscy8ucmVsc1BL&#10;AQItABQABgAIAAAAIQBaSHo46AEAABkEAAAOAAAAAAAAAAAAAAAAAC4CAABkcnMvZTJvRG9jLnht&#10;bFBLAQItABQABgAIAAAAIQCkl8au3wAAAAsBAAAPAAAAAAAAAAAAAAAAAEIEAABkcnMvZG93bnJl&#10;di54bWxQSwUGAAAAAAQABADzAAAATgUAAAAA&#10;" strokecolor="#c30" strokeweight="1.5pt"/>
                  </w:pict>
                </mc:Fallback>
              </mc:AlternateContent>
            </w:r>
            <w:r w:rsidR="00F65386">
              <w:rPr>
                <w:noProof/>
                <w:color w:val="C00000"/>
                <w:lang w:eastAsia="en-GB"/>
              </w:rPr>
              <mc:AlternateContent>
                <mc:Choice Requires="wps">
                  <w:drawing>
                    <wp:anchor distT="0" distB="0" distL="114300" distR="114300" simplePos="0" relativeHeight="251661312" behindDoc="0" locked="0" layoutInCell="1" allowOverlap="1" wp14:anchorId="274DB7F6" wp14:editId="6B970E2A">
                      <wp:simplePos x="0" y="0"/>
                      <wp:positionH relativeFrom="column">
                        <wp:posOffset>2646680</wp:posOffset>
                      </wp:positionH>
                      <wp:positionV relativeFrom="paragraph">
                        <wp:posOffset>289560</wp:posOffset>
                      </wp:positionV>
                      <wp:extent cx="373380" cy="0"/>
                      <wp:effectExtent l="0" t="0" r="26670" b="19050"/>
                      <wp:wrapNone/>
                      <wp:docPr id="19" name="Straight Connector 19"/>
                      <wp:cNvGraphicFramePr/>
                      <a:graphic xmlns:a="http://schemas.openxmlformats.org/drawingml/2006/main">
                        <a:graphicData uri="http://schemas.microsoft.com/office/word/2010/wordprocessingShape">
                          <wps:wsp>
                            <wps:cNvCnPr/>
                            <wps:spPr>
                              <a:xfrm flipH="1">
                                <a:off x="0" y="0"/>
                                <a:ext cx="373380" cy="0"/>
                              </a:xfrm>
                              <a:prstGeom prst="line">
                                <a:avLst/>
                              </a:prstGeom>
                              <a:ln w="19050">
                                <a:solidFill>
                                  <a:srgbClr val="CC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BAEB40" id="Straight Connector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4pt,22.8pt" to="237.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OJ5wEAABkEAAAOAAAAZHJzL2Uyb0RvYy54bWysU02P0zAQvSPxHyzfadKtgCVquoeuFg4I&#10;KhZ+gOuME0v+0tg07b9n7KTZBcQBxMWKPfPezHsz2d6drWEnwKi9a/l6VXMGTvpOu77l374+vLrl&#10;LCbhOmG8g5ZfIPK73csX2zE0cOMHbzpARiQuNmNo+ZBSaKoqygGsiCsfwFFQebQi0RX7qkMxErs1&#10;1U1dv6lGj11ALyFGer2fgnxX+JUCmT4rFSEx03LqLZUTy3nMZ7XbiqZHEQYt5zbEP3RhhXZUdKG6&#10;F0mw76h/o7Jaoo9epZX0tvJKaQlFA6lZ17+oeRxEgKKFzIlhsSn+P1r56XRApjua3TvOnLA0o8eE&#10;QvdDYnvvHDnokVGQnBpDbAiwdwecbzEcMMs+K7RMGR0+EFExgqSxc/H5svgM58QkPW7ebja3NA15&#10;DVUTQ2YKGNN78Jblj5Yb7bIDohGnjzFRVUq9puRn49iYe69f1yUteqO7B21MDkbsj3uD7CRo+vv9&#10;ZlOXgRPFszS6GUe8Wdwkp3yli4GpwBdQZBC1PQkrqwkLrZASXFpnewoTZWeYohYW4Nxa3uk/Aef8&#10;DIWytn8DXhClsndpAVvtPE7G/Fw9na8tqyn/6sCkO1tw9N2lDLpYQ/tXFM7/Sl7w5/cCf/qjdz8A&#10;AAD//wMAUEsDBBQABgAIAAAAIQDWCuF93gAAAAkBAAAPAAAAZHJzL2Rvd25yZXYueG1sTI/NTsMw&#10;EITvSLyDtUjcqFMoaRXiVBW/leDSAIKjGy9J1HhtxU4b3p6tOMBtdmc0+22+HG0n9tiH1pGC6SQB&#10;gVQ501Kt4O314WIBIkRNRneOUME3BlgWpye5zow70Ab3ZawFl1DItIImRp9JGaoGrQ4T55HY+3K9&#10;1ZHHvpam1wcut528TJJUWt0SX2i0x9sGq105WAXyMSxWL+vP4Xn4WJd373535Z/ulTo/G1c3ICKO&#10;8S8MR3xGh4KZtm4gE0SnYDZNGT2yuE5BcGA2P4rt70IWufz/QfEDAAD//wMAUEsBAi0AFAAGAAgA&#10;AAAhALaDOJL+AAAA4QEAABMAAAAAAAAAAAAAAAAAAAAAAFtDb250ZW50X1R5cGVzXS54bWxQSwEC&#10;LQAUAAYACAAAACEAOP0h/9YAAACUAQAACwAAAAAAAAAAAAAAAAAvAQAAX3JlbHMvLnJlbHNQSwEC&#10;LQAUAAYACAAAACEAJn3TiecBAAAZBAAADgAAAAAAAAAAAAAAAAAuAgAAZHJzL2Uyb0RvYy54bWxQ&#10;SwECLQAUAAYACAAAACEA1grhfd4AAAAJAQAADwAAAAAAAAAAAAAAAABBBAAAZHJzL2Rvd25yZXYu&#10;eG1sUEsFBgAAAAAEAAQA8wAAAEwFAAAAAA==&#10;" strokecolor="#c30" strokeweight="1.5pt"/>
                  </w:pict>
                </mc:Fallback>
              </mc:AlternateContent>
            </w:r>
            <w:r w:rsidR="00F65386" w:rsidRPr="00A5605F">
              <w:rPr>
                <w:noProof/>
                <w:color w:val="C00000"/>
                <w:lang w:eastAsia="en-GB"/>
              </w:rPr>
              <mc:AlternateContent>
                <mc:Choice Requires="wps">
                  <w:drawing>
                    <wp:anchor distT="45720" distB="45720" distL="114300" distR="114300" simplePos="0" relativeHeight="251659264" behindDoc="0" locked="0" layoutInCell="1" allowOverlap="1" wp14:anchorId="1D074B22" wp14:editId="3BDA2427">
                      <wp:simplePos x="0" y="0"/>
                      <wp:positionH relativeFrom="column">
                        <wp:posOffset>2449830</wp:posOffset>
                      </wp:positionH>
                      <wp:positionV relativeFrom="paragraph">
                        <wp:posOffset>86360</wp:posOffset>
                      </wp:positionV>
                      <wp:extent cx="1714500" cy="1402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2080"/>
                              </a:xfrm>
                              <a:prstGeom prst="rect">
                                <a:avLst/>
                              </a:prstGeom>
                              <a:solidFill>
                                <a:srgbClr val="FFFFFF"/>
                              </a:solidFill>
                              <a:ln w="9525">
                                <a:noFill/>
                                <a:miter lim="800000"/>
                                <a:headEnd/>
                                <a:tailEnd/>
                              </a:ln>
                            </wps:spPr>
                            <wps:txbx>
                              <w:txbxContent>
                                <w:p w14:paraId="3E740B28"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THE</w:t>
                                  </w:r>
                                </w:p>
                                <w:p w14:paraId="04DCCCCF"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HAMLYN</w:t>
                                  </w:r>
                                  <w:r w:rsidR="001E50E6" w:rsidRPr="001E50E6">
                                    <w:rPr>
                                      <w:rFonts w:ascii="Arial Narrow" w:eastAsia="Times New Roman" w:hAnsi="Arial Narrow" w:cs="Times New Roman"/>
                                      <w:color w:val="FF3300"/>
                                      <w:kern w:val="28"/>
                                      <w:sz w:val="46"/>
                                      <w:szCs w:val="46"/>
                                      <w:lang w:eastAsia="en-GB"/>
                                    </w:rPr>
                                    <w:softHyphen/>
                                  </w:r>
                                  <w:r w:rsidR="001E50E6" w:rsidRPr="001E50E6">
                                    <w:rPr>
                                      <w:rFonts w:ascii="Arial Narrow" w:eastAsia="Times New Roman" w:hAnsi="Arial Narrow" w:cs="Times New Roman"/>
                                      <w:color w:val="FF3300"/>
                                      <w:kern w:val="28"/>
                                      <w:sz w:val="46"/>
                                      <w:szCs w:val="46"/>
                                      <w:lang w:eastAsia="en-GB"/>
                                    </w:rPr>
                                    <w:softHyphen/>
                                  </w:r>
                                </w:p>
                                <w:p w14:paraId="25A9DB6C"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LECTURES</w:t>
                                  </w:r>
                                </w:p>
                                <w:p w14:paraId="005376E2" w14:textId="51124669" w:rsidR="00A5605F" w:rsidRPr="00A5605F" w:rsidRDefault="004F07D7" w:rsidP="001A1B78">
                                  <w:pPr>
                                    <w:widowControl w:val="0"/>
                                    <w:spacing w:after="0" w:line="240" w:lineRule="auto"/>
                                    <w:jc w:val="center"/>
                                    <w:rPr>
                                      <w:rFonts w:ascii="Arial Narrow" w:eastAsia="Times New Roman" w:hAnsi="Arial Narrow" w:cs="Times New Roman"/>
                                      <w:color w:val="FF3300"/>
                                      <w:kern w:val="28"/>
                                      <w:sz w:val="46"/>
                                      <w:szCs w:val="46"/>
                                      <w:lang w:eastAsia="en-GB"/>
                                    </w:rPr>
                                  </w:pPr>
                                  <w:r>
                                    <w:rPr>
                                      <w:rFonts w:ascii="Arial Narrow" w:eastAsia="Times New Roman" w:hAnsi="Arial Narrow" w:cs="Times New Roman"/>
                                      <w:color w:val="FF3300"/>
                                      <w:kern w:val="28"/>
                                      <w:sz w:val="46"/>
                                      <w:szCs w:val="46"/>
                                      <w:lang w:eastAsia="en-GB"/>
                                    </w:rPr>
                                    <w:t>20</w:t>
                                  </w:r>
                                  <w:r w:rsidR="005E7F59">
                                    <w:rPr>
                                      <w:rFonts w:ascii="Arial Narrow" w:eastAsia="Times New Roman" w:hAnsi="Arial Narrow" w:cs="Times New Roman"/>
                                      <w:color w:val="FF3300"/>
                                      <w:kern w:val="28"/>
                                      <w:sz w:val="46"/>
                                      <w:szCs w:val="46"/>
                                      <w:lang w:eastAsia="en-GB"/>
                                    </w:rPr>
                                    <w:t>20</w:t>
                                  </w:r>
                                </w:p>
                                <w:p w14:paraId="1D047BDE" w14:textId="77777777" w:rsidR="00A5605F" w:rsidRDefault="00A56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074B22" id="_x0000_t202" coordsize="21600,21600" o:spt="202" path="m,l,21600r21600,l21600,xe">
                      <v:stroke joinstyle="miter"/>
                      <v:path gradientshapeok="t" o:connecttype="rect"/>
                    </v:shapetype>
                    <v:shape id="Text Box 2" o:spid="_x0000_s1026" type="#_x0000_t202" style="position:absolute;left:0;text-align:left;margin-left:192.9pt;margin-top:6.8pt;width:135pt;height:11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l0IAIAAB4EAAAOAAAAZHJzL2Uyb0RvYy54bWysU9uO2yAQfa/Uf0C8N74oabJWnNU221SV&#10;thdptx+AMY5RgaFAYqdf3wFns9H2raofEOMZDmfOHNa3o1bkKJyXYGpazHJKhOHQSrOv6Y+n3bsV&#10;JT4w0zIFRtT0JDy93bx9sx5sJUroQbXCEQQxvhpsTfsQbJVlnvdCMz8DKwwmO3CaBQzdPmsdGxBd&#10;q6zM8/fZAK61DrjwHv/eT0m6SfhdJ3j41nVeBKJqitxCWl1am7hmmzWr9o7ZXvIzDfYPLDSTBi+9&#10;QN2zwMjByb+gtOQOPHRhxkFn0HWSi9QDdlPkr7p57JkVqRcUx9uLTP7/wfKvx++OyLamZbGkxDCN&#10;Q3oSYyAfYCRl1GewvsKyR4uFYcTfOOfUq7cPwH96YmDbM7MXd87B0AvWIr8insyujk44PoI0wxdo&#10;8Rp2CJCAxs7pKB7KQRAd53S6zCZS4fHKZTFf5JjimCvmeZmv0vQyVj0ft86HTwI0iZuaOhx+gmfH&#10;Bx8iHVY9l8TbPCjZ7qRSKXD7ZqscOTI0yi59qYNXZcqQoaY3i3KRkA3E88lDWgY0spK6pqs8fpO1&#10;ohwfTZtKApNq2iMTZc76REkmccLYjFgYRWugPaFSDibD4gPDTQ/uNyUDmrWm/teBOUGJ+mxQ7Zti&#10;Po/uTsF8sSwxcNeZ5jrDDEeomgZKpu02pBcRdTBwh1PpZNLrhcmZK5owyXh+MNHl13GqennWmz8A&#10;AAD//wMAUEsDBBQABgAIAAAAIQCUhH723gAAAAoBAAAPAAAAZHJzL2Rvd25yZXYueG1sTI/NTsMw&#10;EITvSLyDtUhcEHVoftqmcSpAAnFt6QNs4m0SEdtR7Dbp27M9wXF2RjPfFrvZ9OJCo++cVfCyiECQ&#10;rZ3ubKPg+P3xvAbhA1qNvbOk4EoeduX9XYG5dpPd0+UQGsEl1ueooA1hyKX0dUsG/cINZNk7udFg&#10;YDk2Uo84cbnp5TKKMmmws7zQ4kDvLdU/h7NRcPqantLNVH2G42qfZG/YrSp3VerxYX7dggg0h78w&#10;3PAZHUpmqtzZai96BfE6ZfTARpyB4ECW3g6VgmWcJCDLQv5/ofwFAAD//wMAUEsBAi0AFAAGAAgA&#10;AAAhALaDOJL+AAAA4QEAABMAAAAAAAAAAAAAAAAAAAAAAFtDb250ZW50X1R5cGVzXS54bWxQSwEC&#10;LQAUAAYACAAAACEAOP0h/9YAAACUAQAACwAAAAAAAAAAAAAAAAAvAQAAX3JlbHMvLnJlbHNQSwEC&#10;LQAUAAYACAAAACEAUYdpdCACAAAeBAAADgAAAAAAAAAAAAAAAAAuAgAAZHJzL2Uyb0RvYy54bWxQ&#10;SwECLQAUAAYACAAAACEAlIR+9t4AAAAKAQAADwAAAAAAAAAAAAAAAAB6BAAAZHJzL2Rvd25yZXYu&#10;eG1sUEsFBgAAAAAEAAQA8wAAAIUFAAAAAA==&#10;" stroked="f">
                      <v:textbox>
                        <w:txbxContent>
                          <w:p w14:paraId="3E740B28"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THE</w:t>
                            </w:r>
                          </w:p>
                          <w:p w14:paraId="04DCCCCF"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HAMLYN</w:t>
                            </w:r>
                            <w:r w:rsidR="001E50E6" w:rsidRPr="001E50E6">
                              <w:rPr>
                                <w:rFonts w:ascii="Arial Narrow" w:eastAsia="Times New Roman" w:hAnsi="Arial Narrow" w:cs="Times New Roman"/>
                                <w:color w:val="FF3300"/>
                                <w:kern w:val="28"/>
                                <w:sz w:val="46"/>
                                <w:szCs w:val="46"/>
                                <w:lang w:eastAsia="en-GB"/>
                              </w:rPr>
                              <w:softHyphen/>
                            </w:r>
                            <w:r w:rsidR="001E50E6" w:rsidRPr="001E50E6">
                              <w:rPr>
                                <w:rFonts w:ascii="Arial Narrow" w:eastAsia="Times New Roman" w:hAnsi="Arial Narrow" w:cs="Times New Roman"/>
                                <w:color w:val="FF3300"/>
                                <w:kern w:val="28"/>
                                <w:sz w:val="46"/>
                                <w:szCs w:val="46"/>
                                <w:lang w:eastAsia="en-GB"/>
                              </w:rPr>
                              <w:softHyphen/>
                            </w:r>
                          </w:p>
                          <w:p w14:paraId="25A9DB6C" w14:textId="77777777" w:rsidR="00A5605F" w:rsidRPr="00A5605F" w:rsidRDefault="00A5605F" w:rsidP="00A5605F">
                            <w:pPr>
                              <w:widowControl w:val="0"/>
                              <w:spacing w:after="0" w:line="240" w:lineRule="auto"/>
                              <w:jc w:val="center"/>
                              <w:rPr>
                                <w:rFonts w:ascii="Arial Narrow" w:eastAsia="Times New Roman" w:hAnsi="Arial Narrow" w:cs="Times New Roman"/>
                                <w:color w:val="FF3300"/>
                                <w:kern w:val="28"/>
                                <w:sz w:val="46"/>
                                <w:szCs w:val="46"/>
                                <w:lang w:eastAsia="en-GB"/>
                              </w:rPr>
                            </w:pPr>
                            <w:r w:rsidRPr="00A5605F">
                              <w:rPr>
                                <w:rFonts w:ascii="Arial Narrow" w:eastAsia="Times New Roman" w:hAnsi="Arial Narrow" w:cs="Times New Roman"/>
                                <w:color w:val="FF3300"/>
                                <w:kern w:val="28"/>
                                <w:sz w:val="46"/>
                                <w:szCs w:val="46"/>
                                <w:lang w:eastAsia="en-GB"/>
                              </w:rPr>
                              <w:t>LECTURES</w:t>
                            </w:r>
                          </w:p>
                          <w:p w14:paraId="005376E2" w14:textId="51124669" w:rsidR="00A5605F" w:rsidRPr="00A5605F" w:rsidRDefault="004F07D7" w:rsidP="001A1B78">
                            <w:pPr>
                              <w:widowControl w:val="0"/>
                              <w:spacing w:after="0" w:line="240" w:lineRule="auto"/>
                              <w:jc w:val="center"/>
                              <w:rPr>
                                <w:rFonts w:ascii="Arial Narrow" w:eastAsia="Times New Roman" w:hAnsi="Arial Narrow" w:cs="Times New Roman"/>
                                <w:color w:val="FF3300"/>
                                <w:kern w:val="28"/>
                                <w:sz w:val="46"/>
                                <w:szCs w:val="46"/>
                                <w:lang w:eastAsia="en-GB"/>
                              </w:rPr>
                            </w:pPr>
                            <w:r>
                              <w:rPr>
                                <w:rFonts w:ascii="Arial Narrow" w:eastAsia="Times New Roman" w:hAnsi="Arial Narrow" w:cs="Times New Roman"/>
                                <w:color w:val="FF3300"/>
                                <w:kern w:val="28"/>
                                <w:sz w:val="46"/>
                                <w:szCs w:val="46"/>
                                <w:lang w:eastAsia="en-GB"/>
                              </w:rPr>
                              <w:t>20</w:t>
                            </w:r>
                            <w:r w:rsidR="005E7F59">
                              <w:rPr>
                                <w:rFonts w:ascii="Arial Narrow" w:eastAsia="Times New Roman" w:hAnsi="Arial Narrow" w:cs="Times New Roman"/>
                                <w:color w:val="FF3300"/>
                                <w:kern w:val="28"/>
                                <w:sz w:val="46"/>
                                <w:szCs w:val="46"/>
                                <w:lang w:eastAsia="en-GB"/>
                              </w:rPr>
                              <w:t>20</w:t>
                            </w:r>
                          </w:p>
                          <w:p w14:paraId="1D047BDE" w14:textId="77777777" w:rsidR="00A5605F" w:rsidRDefault="00A5605F"/>
                        </w:txbxContent>
                      </v:textbox>
                      <w10:wrap type="square"/>
                    </v:shape>
                  </w:pict>
                </mc:Fallback>
              </mc:AlternateContent>
            </w:r>
          </w:p>
        </w:tc>
        <w:tc>
          <w:tcPr>
            <w:tcW w:w="236" w:type="dxa"/>
            <w:shd w:val="clear" w:color="auto" w:fill="FFFFFF" w:themeFill="background1"/>
            <w:vAlign w:val="bottom"/>
          </w:tcPr>
          <w:p w14:paraId="1D575CA0" w14:textId="77777777" w:rsidR="00672CCF" w:rsidRDefault="00672CCF" w:rsidP="008654DA">
            <w:pPr>
              <w:ind w:right="176"/>
              <w:jc w:val="center"/>
            </w:pPr>
          </w:p>
        </w:tc>
        <w:tc>
          <w:tcPr>
            <w:tcW w:w="236" w:type="dxa"/>
            <w:shd w:val="clear" w:color="auto" w:fill="FFFFFF" w:themeFill="background1"/>
            <w:vAlign w:val="bottom"/>
          </w:tcPr>
          <w:p w14:paraId="3B89218B" w14:textId="77777777" w:rsidR="00672CCF" w:rsidRDefault="00672CCF" w:rsidP="008654DA">
            <w:pPr>
              <w:ind w:right="176"/>
              <w:jc w:val="center"/>
            </w:pPr>
          </w:p>
        </w:tc>
      </w:tr>
      <w:tr w:rsidR="00D8723E" w14:paraId="2FDEF4D9" w14:textId="77777777" w:rsidTr="00AA6C47">
        <w:trPr>
          <w:trHeight w:val="152"/>
        </w:trPr>
        <w:tc>
          <w:tcPr>
            <w:tcW w:w="236" w:type="dxa"/>
          </w:tcPr>
          <w:p w14:paraId="116E3134" w14:textId="77777777" w:rsidR="00672CCF" w:rsidRDefault="00672CCF" w:rsidP="00A51750">
            <w:pPr>
              <w:ind w:right="-256"/>
            </w:pPr>
          </w:p>
        </w:tc>
        <w:tc>
          <w:tcPr>
            <w:tcW w:w="236" w:type="dxa"/>
          </w:tcPr>
          <w:p w14:paraId="4B62411A" w14:textId="77777777" w:rsidR="00672CCF" w:rsidRDefault="00672CCF" w:rsidP="00EE5DF4">
            <w:pPr>
              <w:ind w:right="176"/>
            </w:pPr>
          </w:p>
        </w:tc>
        <w:tc>
          <w:tcPr>
            <w:tcW w:w="5624" w:type="dxa"/>
          </w:tcPr>
          <w:p w14:paraId="1368588A" w14:textId="77777777" w:rsidR="00672CCF" w:rsidRPr="00BB6491" w:rsidRDefault="00672CCF" w:rsidP="00672CCF">
            <w:pPr>
              <w:ind w:right="-249"/>
              <w:rPr>
                <w:rFonts w:ascii="Verdana" w:hAnsi="Verdana"/>
              </w:rPr>
            </w:pPr>
          </w:p>
        </w:tc>
        <w:tc>
          <w:tcPr>
            <w:tcW w:w="5838" w:type="dxa"/>
          </w:tcPr>
          <w:p w14:paraId="251974A9" w14:textId="77777777" w:rsidR="00672CCF" w:rsidRPr="00BB6491" w:rsidRDefault="00672CCF" w:rsidP="001E6A23">
            <w:pPr>
              <w:ind w:left="-4361" w:right="176"/>
              <w:rPr>
                <w:rFonts w:ascii="Verdana" w:hAnsi="Verdana"/>
              </w:rPr>
            </w:pPr>
          </w:p>
        </w:tc>
        <w:tc>
          <w:tcPr>
            <w:tcW w:w="236" w:type="dxa"/>
          </w:tcPr>
          <w:p w14:paraId="5C9D38A8" w14:textId="77777777" w:rsidR="00672CCF" w:rsidRDefault="00672CCF" w:rsidP="00EE5DF4">
            <w:pPr>
              <w:ind w:right="176"/>
            </w:pPr>
          </w:p>
        </w:tc>
        <w:tc>
          <w:tcPr>
            <w:tcW w:w="236" w:type="dxa"/>
          </w:tcPr>
          <w:p w14:paraId="169366E4" w14:textId="77777777" w:rsidR="00672CCF" w:rsidRDefault="00672CCF" w:rsidP="00EE5DF4">
            <w:pPr>
              <w:ind w:right="176"/>
            </w:pPr>
          </w:p>
        </w:tc>
      </w:tr>
      <w:tr w:rsidR="00672CCF" w14:paraId="205D352C" w14:textId="77777777" w:rsidTr="00AA6C47">
        <w:trPr>
          <w:trHeight w:val="2407"/>
        </w:trPr>
        <w:tc>
          <w:tcPr>
            <w:tcW w:w="236" w:type="dxa"/>
            <w:shd w:val="clear" w:color="auto" w:fill="C00000"/>
          </w:tcPr>
          <w:p w14:paraId="1763EF44" w14:textId="77777777" w:rsidR="00672CCF" w:rsidRPr="00481849" w:rsidRDefault="00672CCF" w:rsidP="00A51750">
            <w:pPr>
              <w:ind w:right="-256"/>
              <w:rPr>
                <w:rFonts w:ascii="Goudy Old Style" w:hAnsi="Goudy Old Style"/>
                <w:color w:val="FF3300"/>
              </w:rPr>
            </w:pPr>
          </w:p>
        </w:tc>
        <w:tc>
          <w:tcPr>
            <w:tcW w:w="236" w:type="dxa"/>
            <w:shd w:val="clear" w:color="auto" w:fill="C00000"/>
          </w:tcPr>
          <w:p w14:paraId="6FDED3A6" w14:textId="77777777" w:rsidR="00672CCF" w:rsidRPr="00481849" w:rsidRDefault="00672CCF" w:rsidP="00DA59A2">
            <w:pPr>
              <w:ind w:left="-249" w:right="176" w:firstLine="249"/>
              <w:jc w:val="center"/>
              <w:rPr>
                <w:color w:val="FFFFFF" w:themeColor="background1"/>
                <w:sz w:val="32"/>
                <w:szCs w:val="32"/>
              </w:rPr>
            </w:pPr>
          </w:p>
        </w:tc>
        <w:tc>
          <w:tcPr>
            <w:tcW w:w="11462" w:type="dxa"/>
            <w:gridSpan w:val="2"/>
            <w:shd w:val="clear" w:color="auto" w:fill="C00000"/>
            <w:vAlign w:val="center"/>
          </w:tcPr>
          <w:p w14:paraId="526A803D" w14:textId="48EAC832" w:rsidR="00672CCF" w:rsidRPr="00BB6491" w:rsidRDefault="00672CCF" w:rsidP="00BB6491">
            <w:pPr>
              <w:spacing w:after="120"/>
              <w:ind w:left="-249" w:right="176" w:firstLine="249"/>
              <w:jc w:val="center"/>
              <w:rPr>
                <w:rFonts w:ascii="Verdana" w:hAnsi="Verdana" w:cs="Tahoma"/>
                <w:i/>
                <w:color w:val="FFFFFF" w:themeColor="background1"/>
                <w:sz w:val="32"/>
                <w:szCs w:val="32"/>
              </w:rPr>
            </w:pPr>
            <w:r w:rsidRPr="00BB6491">
              <w:rPr>
                <w:rFonts w:ascii="Verdana" w:hAnsi="Verdana" w:cs="Tahoma"/>
                <w:i/>
                <w:color w:val="FFFFFF" w:themeColor="background1"/>
                <w:sz w:val="32"/>
                <w:szCs w:val="32"/>
              </w:rPr>
              <w:t xml:space="preserve">To be delivered </w:t>
            </w:r>
            <w:r w:rsidR="00C67E80">
              <w:rPr>
                <w:rFonts w:ascii="Verdana" w:hAnsi="Verdana" w:cs="Tahoma"/>
                <w:i/>
                <w:color w:val="FFFFFF" w:themeColor="background1"/>
                <w:sz w:val="32"/>
                <w:szCs w:val="32"/>
              </w:rPr>
              <w:t xml:space="preserve">online </w:t>
            </w:r>
            <w:r w:rsidRPr="00BB6491">
              <w:rPr>
                <w:rFonts w:ascii="Verdana" w:hAnsi="Verdana" w:cs="Tahoma"/>
                <w:i/>
                <w:color w:val="FFFFFF" w:themeColor="background1"/>
                <w:sz w:val="32"/>
                <w:szCs w:val="32"/>
              </w:rPr>
              <w:t>by</w:t>
            </w:r>
          </w:p>
          <w:p w14:paraId="2BE33C7A" w14:textId="56D7836F" w:rsidR="00A34FF3" w:rsidRDefault="005E7F59" w:rsidP="005E7F59">
            <w:pPr>
              <w:spacing w:after="120"/>
              <w:ind w:right="176"/>
              <w:jc w:val="center"/>
              <w:rPr>
                <w:rFonts w:ascii="Verdana" w:eastAsia="MS Gothic" w:hAnsi="Verdana" w:cs="Tahoma"/>
                <w:b/>
                <w:color w:val="FFFFFF" w:themeColor="background1"/>
                <w:sz w:val="56"/>
                <w:szCs w:val="56"/>
              </w:rPr>
            </w:pPr>
            <w:r w:rsidRPr="005E7F59">
              <w:rPr>
                <w:rFonts w:ascii="Verdana" w:eastAsia="MS Gothic" w:hAnsi="Verdana" w:cs="Tahoma"/>
                <w:b/>
                <w:color w:val="FFFFFF" w:themeColor="background1"/>
                <w:sz w:val="56"/>
                <w:szCs w:val="56"/>
              </w:rPr>
              <w:t>Eleanor Sharpston</w:t>
            </w:r>
            <w:r w:rsidR="00C67E80">
              <w:rPr>
                <w:rFonts w:ascii="Verdana" w:eastAsia="MS Gothic" w:hAnsi="Verdana" w:cs="Tahoma"/>
                <w:b/>
                <w:color w:val="FFFFFF" w:themeColor="background1"/>
                <w:sz w:val="56"/>
                <w:szCs w:val="56"/>
              </w:rPr>
              <w:t xml:space="preserve"> QC</w:t>
            </w:r>
          </w:p>
          <w:p w14:paraId="1FCF025C" w14:textId="77777777" w:rsidR="00C67E80" w:rsidRPr="00C67E80" w:rsidRDefault="00C67E80" w:rsidP="00C67E80">
            <w:pPr>
              <w:spacing w:after="120"/>
              <w:ind w:right="176"/>
              <w:jc w:val="center"/>
              <w:rPr>
                <w:rFonts w:ascii="Verdana" w:eastAsia="MS Gothic" w:hAnsi="Verdana" w:cs="Tahoma"/>
                <w:b/>
                <w:color w:val="FFFFFF" w:themeColor="background1"/>
                <w:sz w:val="32"/>
                <w:szCs w:val="32"/>
              </w:rPr>
            </w:pPr>
            <w:r w:rsidRPr="00C67E80">
              <w:rPr>
                <w:rFonts w:ascii="Verdana" w:eastAsia="MS Gothic" w:hAnsi="Verdana" w:cs="Tahoma"/>
                <w:b/>
                <w:bCs/>
                <w:color w:val="FFFFFF" w:themeColor="background1"/>
                <w:sz w:val="32"/>
                <w:szCs w:val="32"/>
              </w:rPr>
              <w:t>Advocate General 2006 – 2020</w:t>
            </w:r>
          </w:p>
          <w:p w14:paraId="0CD98C4B" w14:textId="2E8B283D" w:rsidR="00C67E80" w:rsidRPr="00AA6C47" w:rsidRDefault="00C67E80" w:rsidP="00AA6C47">
            <w:pPr>
              <w:spacing w:after="120"/>
              <w:ind w:right="176"/>
              <w:jc w:val="center"/>
              <w:rPr>
                <w:rFonts w:ascii="Verdana" w:eastAsia="MS Gothic" w:hAnsi="Verdana" w:cs="Tahoma"/>
                <w:b/>
                <w:color w:val="FFFFFF" w:themeColor="background1"/>
                <w:sz w:val="32"/>
                <w:szCs w:val="32"/>
              </w:rPr>
            </w:pPr>
            <w:r w:rsidRPr="00C67E80">
              <w:rPr>
                <w:rFonts w:ascii="Verdana" w:eastAsia="MS Gothic" w:hAnsi="Verdana" w:cs="Tahoma"/>
                <w:b/>
                <w:bCs/>
                <w:color w:val="FFFFFF" w:themeColor="background1"/>
                <w:sz w:val="32"/>
                <w:szCs w:val="32"/>
              </w:rPr>
              <w:t>Court of Justice of the European Union</w:t>
            </w:r>
          </w:p>
        </w:tc>
        <w:tc>
          <w:tcPr>
            <w:tcW w:w="236" w:type="dxa"/>
            <w:shd w:val="clear" w:color="auto" w:fill="C00000"/>
          </w:tcPr>
          <w:p w14:paraId="10E7E141" w14:textId="77777777" w:rsidR="00672CCF" w:rsidRPr="00481849" w:rsidRDefault="00672CCF" w:rsidP="00EE5DF4">
            <w:pPr>
              <w:ind w:right="176"/>
              <w:rPr>
                <w:color w:val="FF3300"/>
              </w:rPr>
            </w:pPr>
          </w:p>
        </w:tc>
        <w:tc>
          <w:tcPr>
            <w:tcW w:w="236" w:type="dxa"/>
            <w:shd w:val="clear" w:color="auto" w:fill="C00000"/>
          </w:tcPr>
          <w:p w14:paraId="2AB94372" w14:textId="77777777" w:rsidR="00672CCF" w:rsidRPr="00481849" w:rsidRDefault="00672CCF" w:rsidP="00EE5DF4">
            <w:pPr>
              <w:ind w:right="176"/>
              <w:rPr>
                <w:color w:val="FF3300"/>
              </w:rPr>
            </w:pPr>
          </w:p>
        </w:tc>
      </w:tr>
      <w:tr w:rsidR="00D8723E" w14:paraId="79CEFD44" w14:textId="77777777" w:rsidTr="00AA6C47">
        <w:trPr>
          <w:trHeight w:val="156"/>
        </w:trPr>
        <w:tc>
          <w:tcPr>
            <w:tcW w:w="236" w:type="dxa"/>
          </w:tcPr>
          <w:p w14:paraId="32CD9AC6" w14:textId="77777777" w:rsidR="00672CCF" w:rsidRDefault="00672CCF" w:rsidP="00A51750">
            <w:pPr>
              <w:ind w:right="-256"/>
            </w:pPr>
          </w:p>
        </w:tc>
        <w:tc>
          <w:tcPr>
            <w:tcW w:w="236" w:type="dxa"/>
          </w:tcPr>
          <w:p w14:paraId="14B763D7" w14:textId="77777777" w:rsidR="00672CCF" w:rsidRDefault="00672CCF" w:rsidP="00EE5DF4">
            <w:pPr>
              <w:ind w:right="176"/>
            </w:pPr>
          </w:p>
        </w:tc>
        <w:tc>
          <w:tcPr>
            <w:tcW w:w="5624" w:type="dxa"/>
          </w:tcPr>
          <w:p w14:paraId="5A7DF4A3" w14:textId="77777777" w:rsidR="00672CCF" w:rsidRPr="00BB6491" w:rsidRDefault="00672CCF" w:rsidP="00EE5DF4">
            <w:pPr>
              <w:ind w:right="176"/>
              <w:rPr>
                <w:rFonts w:ascii="Verdana" w:hAnsi="Verdana" w:cs="Tahoma"/>
              </w:rPr>
            </w:pPr>
          </w:p>
        </w:tc>
        <w:tc>
          <w:tcPr>
            <w:tcW w:w="5838" w:type="dxa"/>
          </w:tcPr>
          <w:p w14:paraId="2D1F00A2" w14:textId="77777777" w:rsidR="00672CCF" w:rsidRPr="00BB6491" w:rsidRDefault="00672CCF" w:rsidP="001E6A23">
            <w:pPr>
              <w:ind w:left="-4361" w:right="176"/>
              <w:rPr>
                <w:rFonts w:ascii="Verdana" w:hAnsi="Verdana" w:cs="Tahoma"/>
              </w:rPr>
            </w:pPr>
          </w:p>
        </w:tc>
        <w:tc>
          <w:tcPr>
            <w:tcW w:w="236" w:type="dxa"/>
          </w:tcPr>
          <w:p w14:paraId="19682484" w14:textId="77777777" w:rsidR="00672CCF" w:rsidRDefault="00672CCF" w:rsidP="00EE5DF4">
            <w:pPr>
              <w:ind w:right="176"/>
            </w:pPr>
          </w:p>
        </w:tc>
        <w:tc>
          <w:tcPr>
            <w:tcW w:w="236" w:type="dxa"/>
          </w:tcPr>
          <w:p w14:paraId="4B4D9160" w14:textId="77777777" w:rsidR="00672CCF" w:rsidRDefault="00672CCF" w:rsidP="00EE5DF4">
            <w:pPr>
              <w:ind w:right="176"/>
            </w:pPr>
          </w:p>
        </w:tc>
      </w:tr>
      <w:tr w:rsidR="00672CCF" w14:paraId="16652D19" w14:textId="77777777" w:rsidTr="00AA6C47">
        <w:trPr>
          <w:trHeight w:val="2000"/>
        </w:trPr>
        <w:tc>
          <w:tcPr>
            <w:tcW w:w="236" w:type="dxa"/>
          </w:tcPr>
          <w:p w14:paraId="14D72167" w14:textId="77777777" w:rsidR="00672CCF" w:rsidRDefault="00672CCF" w:rsidP="00A51750">
            <w:pPr>
              <w:ind w:right="-256"/>
            </w:pPr>
          </w:p>
        </w:tc>
        <w:tc>
          <w:tcPr>
            <w:tcW w:w="236" w:type="dxa"/>
          </w:tcPr>
          <w:p w14:paraId="1C291E19" w14:textId="77777777" w:rsidR="00672CCF" w:rsidRPr="00481849" w:rsidRDefault="00672CCF" w:rsidP="00481849">
            <w:pPr>
              <w:ind w:left="-250" w:right="176" w:firstLine="250"/>
              <w:jc w:val="center"/>
              <w:rPr>
                <w:b/>
                <w:color w:val="CC3300"/>
                <w:sz w:val="32"/>
                <w:szCs w:val="32"/>
              </w:rPr>
            </w:pPr>
          </w:p>
        </w:tc>
        <w:tc>
          <w:tcPr>
            <w:tcW w:w="11462" w:type="dxa"/>
            <w:gridSpan w:val="2"/>
          </w:tcPr>
          <w:p w14:paraId="3A7D3E48" w14:textId="6B790FE7" w:rsidR="00672CCF" w:rsidRDefault="00672CCF" w:rsidP="005E7F59">
            <w:pPr>
              <w:ind w:right="176"/>
              <w:rPr>
                <w:rFonts w:ascii="Verdana" w:hAnsi="Verdana" w:cs="Tahoma"/>
                <w:b/>
                <w:color w:val="CC3300"/>
                <w:sz w:val="20"/>
                <w:szCs w:val="20"/>
              </w:rPr>
            </w:pPr>
          </w:p>
          <w:p w14:paraId="3407D2B6" w14:textId="7DCCF60F" w:rsidR="005E7F59" w:rsidRPr="005E7F59" w:rsidRDefault="005E7F59" w:rsidP="005E7F59">
            <w:pPr>
              <w:ind w:left="-250" w:right="176" w:firstLine="250"/>
              <w:jc w:val="center"/>
              <w:rPr>
                <w:rFonts w:ascii="Verdana" w:hAnsi="Verdana" w:cs="Tahoma"/>
                <w:b/>
                <w:bCs/>
                <w:color w:val="C00000"/>
                <w:sz w:val="40"/>
                <w:szCs w:val="40"/>
              </w:rPr>
            </w:pPr>
            <w:r w:rsidRPr="005E7F59">
              <w:rPr>
                <w:rFonts w:ascii="Verdana" w:hAnsi="Verdana" w:cs="Tahoma"/>
                <w:b/>
                <w:bCs/>
                <w:color w:val="C00000"/>
                <w:sz w:val="40"/>
                <w:szCs w:val="40"/>
              </w:rPr>
              <w:t xml:space="preserve">The Great Experiment: Constructing a European Union under </w:t>
            </w:r>
            <w:r w:rsidR="006A7221">
              <w:rPr>
                <w:rFonts w:ascii="Verdana" w:hAnsi="Verdana" w:cs="Tahoma"/>
                <w:b/>
                <w:bCs/>
                <w:color w:val="C00000"/>
                <w:sz w:val="40"/>
                <w:szCs w:val="40"/>
              </w:rPr>
              <w:t>t</w:t>
            </w:r>
            <w:r w:rsidRPr="005E7F59">
              <w:rPr>
                <w:rFonts w:ascii="Verdana" w:hAnsi="Verdana" w:cs="Tahoma"/>
                <w:b/>
                <w:bCs/>
                <w:color w:val="C00000"/>
                <w:sz w:val="40"/>
                <w:szCs w:val="40"/>
              </w:rPr>
              <w:t xml:space="preserve">he Rule </w:t>
            </w:r>
            <w:r w:rsidR="00844345">
              <w:rPr>
                <w:rFonts w:ascii="Verdana" w:hAnsi="Verdana" w:cs="Tahoma"/>
                <w:b/>
                <w:bCs/>
                <w:color w:val="C00000"/>
                <w:sz w:val="40"/>
                <w:szCs w:val="40"/>
              </w:rPr>
              <w:t>o</w:t>
            </w:r>
            <w:r w:rsidRPr="005E7F59">
              <w:rPr>
                <w:rFonts w:ascii="Verdana" w:hAnsi="Verdana" w:cs="Tahoma"/>
                <w:b/>
                <w:bCs/>
                <w:color w:val="C00000"/>
                <w:sz w:val="40"/>
                <w:szCs w:val="40"/>
              </w:rPr>
              <w:t>f Law from a Group of Diverse Sovereign States</w:t>
            </w:r>
          </w:p>
          <w:p w14:paraId="1A30CC26" w14:textId="77777777" w:rsidR="004F07D7" w:rsidRPr="00D73E3D" w:rsidRDefault="004F07D7" w:rsidP="00B5694F">
            <w:pPr>
              <w:ind w:left="-250" w:right="176" w:firstLine="250"/>
              <w:jc w:val="center"/>
              <w:rPr>
                <w:rFonts w:ascii="Verdana" w:hAnsi="Verdana" w:cs="Tahoma"/>
                <w:b/>
                <w:color w:val="CC3300"/>
                <w:sz w:val="20"/>
                <w:szCs w:val="20"/>
              </w:rPr>
            </w:pPr>
          </w:p>
        </w:tc>
        <w:tc>
          <w:tcPr>
            <w:tcW w:w="236" w:type="dxa"/>
          </w:tcPr>
          <w:p w14:paraId="5D14822E" w14:textId="77777777" w:rsidR="00672CCF" w:rsidRDefault="00672CCF" w:rsidP="00EE5DF4">
            <w:pPr>
              <w:ind w:left="-250" w:right="176"/>
            </w:pPr>
          </w:p>
        </w:tc>
        <w:tc>
          <w:tcPr>
            <w:tcW w:w="236" w:type="dxa"/>
          </w:tcPr>
          <w:p w14:paraId="76D2F746" w14:textId="77777777" w:rsidR="00672CCF" w:rsidRDefault="00672CCF" w:rsidP="00EE5DF4">
            <w:pPr>
              <w:ind w:left="-250" w:right="176"/>
            </w:pPr>
          </w:p>
        </w:tc>
      </w:tr>
      <w:tr w:rsidR="00D8723E" w14:paraId="334DE29F" w14:textId="77777777" w:rsidTr="00AA6C47">
        <w:trPr>
          <w:trHeight w:val="2451"/>
        </w:trPr>
        <w:tc>
          <w:tcPr>
            <w:tcW w:w="236" w:type="dxa"/>
          </w:tcPr>
          <w:p w14:paraId="427FC484" w14:textId="77777777" w:rsidR="00672CCF" w:rsidRDefault="00672CCF" w:rsidP="00A51750">
            <w:pPr>
              <w:ind w:right="-256"/>
            </w:pPr>
          </w:p>
        </w:tc>
        <w:tc>
          <w:tcPr>
            <w:tcW w:w="236" w:type="dxa"/>
          </w:tcPr>
          <w:p w14:paraId="3AA2CAC7" w14:textId="77777777" w:rsidR="00672CCF" w:rsidRPr="0092469C" w:rsidRDefault="00672CCF" w:rsidP="0092469C">
            <w:pPr>
              <w:ind w:left="380" w:right="-391"/>
              <w:rPr>
                <w:sz w:val="24"/>
                <w:szCs w:val="24"/>
              </w:rPr>
            </w:pPr>
          </w:p>
        </w:tc>
        <w:tc>
          <w:tcPr>
            <w:tcW w:w="5624" w:type="dxa"/>
            <w:tcMar>
              <w:right w:w="142" w:type="dxa"/>
            </w:tcMar>
          </w:tcPr>
          <w:p w14:paraId="124A116F" w14:textId="4F94E7B1" w:rsidR="004F07D7" w:rsidRPr="00315623" w:rsidRDefault="004F07D7" w:rsidP="00C254A6">
            <w:pPr>
              <w:ind w:left="176" w:right="-391"/>
              <w:rPr>
                <w:rFonts w:ascii="Verdana" w:hAnsi="Verdana" w:cs="Tahoma"/>
                <w:b/>
                <w:sz w:val="20"/>
                <w:szCs w:val="20"/>
              </w:rPr>
            </w:pPr>
            <w:r w:rsidRPr="00315623">
              <w:rPr>
                <w:rFonts w:ascii="Verdana" w:hAnsi="Verdana" w:cs="Tahoma"/>
                <w:b/>
                <w:sz w:val="20"/>
                <w:szCs w:val="20"/>
              </w:rPr>
              <w:t>Lecture 1</w:t>
            </w:r>
            <w:r w:rsidR="005E7F59" w:rsidRPr="00315623">
              <w:rPr>
                <w:rFonts w:ascii="Verdana" w:hAnsi="Verdana" w:cs="Tahoma"/>
                <w:b/>
                <w:sz w:val="20"/>
                <w:szCs w:val="20"/>
              </w:rPr>
              <w:t>:</w:t>
            </w:r>
          </w:p>
          <w:p w14:paraId="7351337D" w14:textId="77777777" w:rsidR="005E7F59" w:rsidRPr="00315623" w:rsidRDefault="005E7F59" w:rsidP="004038BD">
            <w:pPr>
              <w:ind w:left="176" w:right="-391"/>
              <w:rPr>
                <w:rFonts w:ascii="Verdana" w:hAnsi="Verdana" w:cs="Tahoma"/>
                <w:b/>
                <w:sz w:val="20"/>
                <w:szCs w:val="20"/>
              </w:rPr>
            </w:pPr>
          </w:p>
          <w:p w14:paraId="3E8B7A55" w14:textId="1BF13A0C" w:rsidR="00282898" w:rsidRPr="00315623" w:rsidRDefault="005E7F59" w:rsidP="004038BD">
            <w:pPr>
              <w:ind w:left="176" w:right="-391"/>
              <w:rPr>
                <w:rFonts w:ascii="Verdana" w:hAnsi="Verdana" w:cs="Tahoma"/>
                <w:sz w:val="20"/>
                <w:szCs w:val="20"/>
              </w:rPr>
            </w:pPr>
            <w:r w:rsidRPr="00315623">
              <w:rPr>
                <w:rFonts w:ascii="Verdana" w:hAnsi="Verdana" w:cs="Tahoma"/>
                <w:b/>
                <w:sz w:val="20"/>
                <w:szCs w:val="20"/>
              </w:rPr>
              <w:t>Thursday</w:t>
            </w:r>
            <w:r w:rsidR="00C254A6" w:rsidRPr="00315623">
              <w:rPr>
                <w:rFonts w:ascii="Verdana" w:hAnsi="Verdana" w:cs="Tahoma"/>
                <w:b/>
                <w:sz w:val="20"/>
                <w:szCs w:val="20"/>
              </w:rPr>
              <w:t xml:space="preserve"> </w:t>
            </w:r>
            <w:r w:rsidRPr="00315623">
              <w:rPr>
                <w:rFonts w:ascii="Verdana" w:hAnsi="Verdana" w:cs="Tahoma"/>
                <w:b/>
                <w:sz w:val="20"/>
                <w:szCs w:val="20"/>
              </w:rPr>
              <w:t>2</w:t>
            </w:r>
            <w:r w:rsidR="00C254A6" w:rsidRPr="00315623">
              <w:rPr>
                <w:rFonts w:ascii="Verdana" w:hAnsi="Verdana" w:cs="Tahoma"/>
                <w:b/>
                <w:sz w:val="20"/>
                <w:szCs w:val="20"/>
              </w:rPr>
              <w:t>9</w:t>
            </w:r>
            <w:r w:rsidR="0022609A" w:rsidRPr="00315623">
              <w:rPr>
                <w:rFonts w:ascii="Verdana" w:hAnsi="Verdana" w:cs="Tahoma"/>
                <w:b/>
                <w:sz w:val="20"/>
                <w:szCs w:val="20"/>
              </w:rPr>
              <w:t xml:space="preserve"> </w:t>
            </w:r>
            <w:r w:rsidR="00B95218">
              <w:rPr>
                <w:rFonts w:ascii="Verdana" w:hAnsi="Verdana" w:cs="Tahoma"/>
                <w:b/>
                <w:sz w:val="20"/>
                <w:szCs w:val="20"/>
              </w:rPr>
              <w:t>October</w:t>
            </w:r>
            <w:r w:rsidR="008E6583" w:rsidRPr="00315623">
              <w:rPr>
                <w:rFonts w:ascii="Verdana" w:hAnsi="Verdana" w:cs="Tahoma"/>
                <w:sz w:val="20"/>
                <w:szCs w:val="20"/>
              </w:rPr>
              <w:t xml:space="preserve">, </w:t>
            </w:r>
            <w:r w:rsidR="002F2FBE" w:rsidRPr="00315623">
              <w:rPr>
                <w:rFonts w:ascii="Verdana" w:hAnsi="Verdana" w:cs="Tahoma"/>
                <w:sz w:val="20"/>
                <w:szCs w:val="20"/>
              </w:rPr>
              <w:t>1</w:t>
            </w:r>
            <w:r w:rsidRPr="00315623">
              <w:rPr>
                <w:rFonts w:ascii="Verdana" w:hAnsi="Verdana" w:cs="Tahoma"/>
                <w:sz w:val="20"/>
                <w:szCs w:val="20"/>
              </w:rPr>
              <w:t>8</w:t>
            </w:r>
            <w:r w:rsidR="00C254A6" w:rsidRPr="00315623">
              <w:rPr>
                <w:rFonts w:ascii="Verdana" w:hAnsi="Verdana" w:cs="Tahoma"/>
                <w:sz w:val="20"/>
                <w:szCs w:val="20"/>
              </w:rPr>
              <w:t>:00</w:t>
            </w:r>
            <w:r w:rsidR="002F2FBE" w:rsidRPr="00315623">
              <w:rPr>
                <w:rFonts w:ascii="Verdana" w:hAnsi="Verdana" w:cs="Tahoma"/>
                <w:sz w:val="20"/>
                <w:szCs w:val="20"/>
              </w:rPr>
              <w:t>-1</w:t>
            </w:r>
            <w:r w:rsidRPr="00315623">
              <w:rPr>
                <w:rFonts w:ascii="Verdana" w:hAnsi="Verdana" w:cs="Tahoma"/>
                <w:sz w:val="20"/>
                <w:szCs w:val="20"/>
              </w:rPr>
              <w:t>9</w:t>
            </w:r>
            <w:r w:rsidR="002F2FBE" w:rsidRPr="00315623">
              <w:rPr>
                <w:rFonts w:ascii="Verdana" w:hAnsi="Verdana" w:cs="Tahoma"/>
                <w:sz w:val="20"/>
                <w:szCs w:val="20"/>
              </w:rPr>
              <w:t>:00</w:t>
            </w:r>
          </w:p>
          <w:p w14:paraId="430D28B8" w14:textId="2ABB6B08" w:rsidR="00C67E80" w:rsidRPr="0043085D" w:rsidRDefault="0043085D" w:rsidP="00B52710">
            <w:pPr>
              <w:ind w:left="176" w:right="-391"/>
              <w:rPr>
                <w:rFonts w:ascii="Verdana" w:hAnsi="Verdana" w:cs="Tahoma"/>
                <w:sz w:val="20"/>
                <w:szCs w:val="20"/>
              </w:rPr>
            </w:pPr>
            <w:r>
              <w:rPr>
                <w:rFonts w:ascii="Verdana" w:hAnsi="Verdana" w:cs="Tahoma"/>
                <w:sz w:val="20"/>
                <w:szCs w:val="20"/>
              </w:rPr>
              <w:t xml:space="preserve">Hosted by </w:t>
            </w:r>
            <w:r w:rsidRPr="0043085D">
              <w:rPr>
                <w:rFonts w:ascii="Verdana" w:hAnsi="Verdana" w:cs="Tahoma"/>
                <w:sz w:val="20"/>
                <w:szCs w:val="20"/>
              </w:rPr>
              <w:t>Faculty of Advocates, Edinburgh</w:t>
            </w:r>
          </w:p>
          <w:p w14:paraId="5F3DDAD2" w14:textId="2940B07A" w:rsidR="0043085D" w:rsidRPr="0043085D" w:rsidRDefault="0043085D" w:rsidP="00B52710">
            <w:pPr>
              <w:ind w:left="176" w:right="-391"/>
              <w:rPr>
                <w:rFonts w:ascii="Verdana" w:hAnsi="Verdana" w:cs="Tahoma"/>
                <w:sz w:val="20"/>
                <w:szCs w:val="20"/>
              </w:rPr>
            </w:pPr>
          </w:p>
          <w:p w14:paraId="37C5105D" w14:textId="720EF656" w:rsidR="00B60A8A" w:rsidRPr="00AA6C47" w:rsidRDefault="00B60A8A" w:rsidP="00B52710">
            <w:pPr>
              <w:ind w:left="176" w:right="-391"/>
              <w:rPr>
                <w:rFonts w:ascii="Verdana" w:hAnsi="Verdana" w:cs="Tahoma"/>
                <w:sz w:val="18"/>
                <w:szCs w:val="18"/>
              </w:rPr>
            </w:pPr>
            <w:r w:rsidRPr="00AA6C47">
              <w:rPr>
                <w:rFonts w:ascii="Verdana" w:hAnsi="Verdana" w:cs="Tahoma"/>
                <w:i/>
                <w:sz w:val="18"/>
                <w:szCs w:val="18"/>
              </w:rPr>
              <w:t>Booking</w:t>
            </w:r>
            <w:r w:rsidR="004038BD" w:rsidRPr="00AA6C47">
              <w:rPr>
                <w:rFonts w:ascii="Verdana" w:hAnsi="Verdana" w:cs="Tahoma"/>
                <w:sz w:val="18"/>
                <w:szCs w:val="18"/>
              </w:rPr>
              <w:t xml:space="preserve">: </w:t>
            </w:r>
          </w:p>
          <w:p w14:paraId="4E6BDCE6" w14:textId="77777777" w:rsidR="00C51CC6" w:rsidRPr="00C51CC6" w:rsidRDefault="002D2147" w:rsidP="00585DF7">
            <w:pPr>
              <w:ind w:left="176" w:right="-391"/>
              <w:rPr>
                <w:rFonts w:ascii="Verdana" w:hAnsi="Verdana" w:cs="Tahoma"/>
                <w:sz w:val="20"/>
                <w:szCs w:val="20"/>
              </w:rPr>
            </w:pPr>
            <w:hyperlink r:id="rId5" w:history="1">
              <w:r w:rsidR="00C51CC6" w:rsidRPr="00AA6C47">
                <w:rPr>
                  <w:rStyle w:val="Hyperlink"/>
                  <w:rFonts w:ascii="Verdana" w:hAnsi="Verdana" w:cs="Tahoma"/>
                  <w:sz w:val="18"/>
                  <w:szCs w:val="18"/>
                </w:rPr>
                <w:t>https://www.eventbrite.co.uk/e/competing-claims-to-pre-eminence-and-the-lessons-of-history-registration-117632236185</w:t>
              </w:r>
            </w:hyperlink>
          </w:p>
          <w:p w14:paraId="2253D6EA" w14:textId="4DF9D6AB" w:rsidR="00672CCF" w:rsidRPr="00315623" w:rsidRDefault="00672CCF" w:rsidP="00F01B40">
            <w:pPr>
              <w:ind w:right="-391"/>
              <w:rPr>
                <w:rFonts w:ascii="Verdana" w:hAnsi="Verdana" w:cs="Tahoma"/>
                <w:sz w:val="20"/>
                <w:szCs w:val="20"/>
              </w:rPr>
            </w:pPr>
          </w:p>
        </w:tc>
        <w:tc>
          <w:tcPr>
            <w:tcW w:w="5838" w:type="dxa"/>
          </w:tcPr>
          <w:p w14:paraId="1770A90E" w14:textId="4113B4D6" w:rsidR="00C254A6" w:rsidRPr="005E7F59" w:rsidRDefault="005E7F59" w:rsidP="00BB4898">
            <w:pPr>
              <w:ind w:left="67"/>
              <w:rPr>
                <w:rFonts w:ascii="Verdana" w:hAnsi="Verdana" w:cs="Tahoma"/>
                <w:i/>
                <w:sz w:val="24"/>
                <w:szCs w:val="24"/>
              </w:rPr>
            </w:pPr>
            <w:r w:rsidRPr="005E7F59">
              <w:rPr>
                <w:rFonts w:ascii="Verdana" w:hAnsi="Verdana" w:cs="Tahoma"/>
                <w:b/>
                <w:bCs/>
                <w:sz w:val="30"/>
                <w:szCs w:val="30"/>
              </w:rPr>
              <w:t>Competing claims to</w:t>
            </w:r>
            <w:r w:rsidR="00AA6C47">
              <w:rPr>
                <w:rFonts w:ascii="Verdana" w:hAnsi="Verdana" w:cs="Tahoma"/>
                <w:b/>
                <w:bCs/>
                <w:sz w:val="30"/>
                <w:szCs w:val="30"/>
              </w:rPr>
              <w:t xml:space="preserve"> </w:t>
            </w:r>
            <w:r w:rsidRPr="005E7F59">
              <w:rPr>
                <w:rFonts w:ascii="Verdana" w:hAnsi="Verdana" w:cs="Tahoma"/>
                <w:b/>
                <w:bCs/>
                <w:sz w:val="30"/>
                <w:szCs w:val="30"/>
              </w:rPr>
              <w:t>pre-eminence and the lessons of history</w:t>
            </w:r>
            <w:r w:rsidRPr="005E7F59">
              <w:rPr>
                <w:rFonts w:ascii="Verdana" w:hAnsi="Verdana" w:cs="Tahoma"/>
                <w:b/>
                <w:bCs/>
                <w:i/>
                <w:sz w:val="30"/>
                <w:szCs w:val="30"/>
              </w:rPr>
              <w:t xml:space="preserve"> </w:t>
            </w:r>
          </w:p>
          <w:p w14:paraId="26F12062" w14:textId="77777777" w:rsidR="005E7F59" w:rsidRDefault="005E7F59" w:rsidP="005E7F59">
            <w:pPr>
              <w:ind w:left="67"/>
              <w:rPr>
                <w:rFonts w:ascii="Verdana" w:hAnsi="Verdana" w:cs="Tahoma"/>
                <w:i/>
                <w:sz w:val="24"/>
                <w:szCs w:val="24"/>
              </w:rPr>
            </w:pPr>
          </w:p>
          <w:p w14:paraId="58123E39" w14:textId="76B8D6DA" w:rsidR="005E7F59" w:rsidRPr="00E55AF9" w:rsidRDefault="002948DC" w:rsidP="005E7F59">
            <w:pPr>
              <w:ind w:left="67"/>
              <w:rPr>
                <w:rFonts w:ascii="Verdana" w:hAnsi="Verdana" w:cs="Tahoma"/>
              </w:rPr>
            </w:pPr>
            <w:r w:rsidRPr="00E55AF9">
              <w:rPr>
                <w:rFonts w:ascii="Verdana" w:hAnsi="Verdana" w:cs="Tahoma"/>
                <w:i/>
              </w:rPr>
              <w:t>Chair:</w:t>
            </w:r>
            <w:r w:rsidR="00C254A6" w:rsidRPr="00E55AF9">
              <w:rPr>
                <w:rFonts w:ascii="Verdana" w:hAnsi="Verdana" w:cs="Tahoma"/>
                <w:i/>
              </w:rPr>
              <w:t xml:space="preserve"> </w:t>
            </w:r>
            <w:r w:rsidR="00E55AF9" w:rsidRPr="00806A1E">
              <w:rPr>
                <w:rFonts w:ascii="Verdana" w:hAnsi="Verdana" w:cs="Tahoma"/>
              </w:rPr>
              <w:t>Rt. Hon.</w:t>
            </w:r>
            <w:r w:rsidR="00E55AF9">
              <w:rPr>
                <w:rFonts w:ascii="Verdana" w:hAnsi="Verdana" w:cs="Tahoma"/>
                <w:i/>
              </w:rPr>
              <w:t xml:space="preserve"> </w:t>
            </w:r>
            <w:r w:rsidR="00E55AF9" w:rsidRPr="00E55AF9">
              <w:rPr>
                <w:rFonts w:ascii="Verdana" w:hAnsi="Verdana" w:cs="Tahoma"/>
              </w:rPr>
              <w:t>Sir David Edward</w:t>
            </w:r>
          </w:p>
          <w:p w14:paraId="4EE9FD21" w14:textId="7AF55D6D" w:rsidR="00C254A6" w:rsidRPr="00C254A6" w:rsidRDefault="00C254A6" w:rsidP="00C254A6">
            <w:pPr>
              <w:ind w:left="67"/>
              <w:rPr>
                <w:rFonts w:ascii="Verdana" w:hAnsi="Verdana" w:cs="Tahoma"/>
                <w:sz w:val="24"/>
                <w:szCs w:val="24"/>
              </w:rPr>
            </w:pPr>
          </w:p>
        </w:tc>
        <w:tc>
          <w:tcPr>
            <w:tcW w:w="236" w:type="dxa"/>
          </w:tcPr>
          <w:p w14:paraId="01A0AE76" w14:textId="77777777" w:rsidR="00672CCF" w:rsidRDefault="00672CCF" w:rsidP="00EE5DF4">
            <w:pPr>
              <w:ind w:left="-250" w:right="176"/>
            </w:pPr>
          </w:p>
        </w:tc>
        <w:tc>
          <w:tcPr>
            <w:tcW w:w="236" w:type="dxa"/>
          </w:tcPr>
          <w:p w14:paraId="0C51A5AF" w14:textId="77777777" w:rsidR="00672CCF" w:rsidRDefault="00672CCF" w:rsidP="00EE5DF4">
            <w:pPr>
              <w:ind w:left="-250" w:right="176"/>
            </w:pPr>
          </w:p>
        </w:tc>
      </w:tr>
      <w:tr w:rsidR="00D8723E" w14:paraId="458375A6" w14:textId="77777777" w:rsidTr="00AA6C47">
        <w:trPr>
          <w:trHeight w:val="1984"/>
        </w:trPr>
        <w:tc>
          <w:tcPr>
            <w:tcW w:w="236" w:type="dxa"/>
          </w:tcPr>
          <w:p w14:paraId="4DFBCE02" w14:textId="77777777" w:rsidR="00672CCF" w:rsidRDefault="00672CCF" w:rsidP="00A51750">
            <w:pPr>
              <w:ind w:right="-256"/>
            </w:pPr>
          </w:p>
        </w:tc>
        <w:tc>
          <w:tcPr>
            <w:tcW w:w="236" w:type="dxa"/>
          </w:tcPr>
          <w:p w14:paraId="501AF58F" w14:textId="77777777" w:rsidR="00672CCF" w:rsidRPr="0092469C" w:rsidRDefault="00672CCF" w:rsidP="0092469C">
            <w:pPr>
              <w:ind w:left="380" w:right="-391"/>
              <w:rPr>
                <w:sz w:val="24"/>
                <w:szCs w:val="24"/>
              </w:rPr>
            </w:pPr>
          </w:p>
        </w:tc>
        <w:tc>
          <w:tcPr>
            <w:tcW w:w="5624" w:type="dxa"/>
          </w:tcPr>
          <w:p w14:paraId="354B5467" w14:textId="5B112440" w:rsidR="00672CCF" w:rsidRPr="00315623" w:rsidRDefault="00672CCF" w:rsidP="007C25AC">
            <w:pPr>
              <w:ind w:left="317" w:right="-391"/>
              <w:rPr>
                <w:rFonts w:ascii="Verdana" w:hAnsi="Verdana" w:cs="Tahoma"/>
                <w:b/>
                <w:sz w:val="20"/>
                <w:szCs w:val="20"/>
              </w:rPr>
            </w:pPr>
            <w:r w:rsidRPr="00315623">
              <w:rPr>
                <w:rFonts w:ascii="Verdana" w:hAnsi="Verdana" w:cs="Tahoma"/>
                <w:b/>
                <w:sz w:val="20"/>
                <w:szCs w:val="20"/>
              </w:rPr>
              <w:t>Lecture 2</w:t>
            </w:r>
            <w:r w:rsidR="005E7F59" w:rsidRPr="00315623">
              <w:rPr>
                <w:rFonts w:ascii="Verdana" w:hAnsi="Verdana" w:cs="Tahoma"/>
                <w:b/>
                <w:sz w:val="20"/>
                <w:szCs w:val="20"/>
              </w:rPr>
              <w:t>:</w:t>
            </w:r>
          </w:p>
          <w:p w14:paraId="34992102" w14:textId="77777777" w:rsidR="005E7F59" w:rsidRPr="00315623" w:rsidRDefault="005E7F59" w:rsidP="0022609A">
            <w:pPr>
              <w:ind w:left="317" w:right="-391"/>
              <w:rPr>
                <w:rFonts w:ascii="Verdana" w:hAnsi="Verdana" w:cs="Tahoma"/>
                <w:b/>
                <w:sz w:val="20"/>
                <w:szCs w:val="20"/>
              </w:rPr>
            </w:pPr>
          </w:p>
          <w:p w14:paraId="25F1CB03" w14:textId="763CAC93" w:rsidR="0022609A" w:rsidRPr="00315623" w:rsidRDefault="005E7F59" w:rsidP="0022609A">
            <w:pPr>
              <w:ind w:left="317" w:right="-391"/>
              <w:rPr>
                <w:rFonts w:ascii="Verdana" w:hAnsi="Verdana" w:cs="Tahoma"/>
                <w:sz w:val="20"/>
                <w:szCs w:val="20"/>
              </w:rPr>
            </w:pPr>
            <w:r w:rsidRPr="00315623">
              <w:rPr>
                <w:rFonts w:ascii="Verdana" w:hAnsi="Verdana" w:cs="Tahoma"/>
                <w:b/>
                <w:sz w:val="20"/>
                <w:szCs w:val="20"/>
              </w:rPr>
              <w:t>Monday</w:t>
            </w:r>
            <w:r w:rsidR="009B66E3" w:rsidRPr="00315623">
              <w:rPr>
                <w:rFonts w:ascii="Verdana" w:hAnsi="Verdana" w:cs="Tahoma"/>
                <w:b/>
                <w:sz w:val="20"/>
                <w:szCs w:val="20"/>
              </w:rPr>
              <w:t xml:space="preserve"> 2</w:t>
            </w:r>
            <w:r w:rsidR="0022609A" w:rsidRPr="00315623">
              <w:rPr>
                <w:rFonts w:ascii="Verdana" w:hAnsi="Verdana" w:cs="Tahoma"/>
                <w:b/>
                <w:sz w:val="20"/>
                <w:szCs w:val="20"/>
              </w:rPr>
              <w:t xml:space="preserve"> November</w:t>
            </w:r>
            <w:r w:rsidR="00B52710" w:rsidRPr="00315623">
              <w:rPr>
                <w:rFonts w:ascii="Verdana" w:hAnsi="Verdana" w:cs="Tahoma"/>
                <w:sz w:val="20"/>
                <w:szCs w:val="20"/>
              </w:rPr>
              <w:t>, 18.00-</w:t>
            </w:r>
            <w:r w:rsidR="00E4024E" w:rsidRPr="00315623">
              <w:rPr>
                <w:rFonts w:ascii="Verdana" w:hAnsi="Verdana" w:cs="Tahoma"/>
                <w:sz w:val="20"/>
                <w:szCs w:val="20"/>
              </w:rPr>
              <w:t>19.00</w:t>
            </w:r>
          </w:p>
          <w:p w14:paraId="76934625" w14:textId="54902C8F" w:rsidR="005E7F59" w:rsidRPr="0043085D" w:rsidRDefault="0043085D" w:rsidP="0043085D">
            <w:pPr>
              <w:pStyle w:val="PlainText"/>
              <w:ind w:left="-108" w:firstLine="108"/>
              <w:rPr>
                <w:rFonts w:ascii="Verdana" w:hAnsi="Verdana" w:cs="Tahoma"/>
              </w:rPr>
            </w:pPr>
            <w:r>
              <w:rPr>
                <w:rFonts w:ascii="Verdana" w:hAnsi="Verdana" w:cs="Tahoma"/>
              </w:rPr>
              <w:t xml:space="preserve">     Hosted by Queens University, Belfast</w:t>
            </w:r>
          </w:p>
          <w:p w14:paraId="3755E85D" w14:textId="77777777" w:rsidR="0043085D" w:rsidRDefault="0043085D" w:rsidP="00B52710">
            <w:pPr>
              <w:pStyle w:val="PlainText"/>
              <w:ind w:left="317"/>
              <w:rPr>
                <w:rFonts w:ascii="Verdana" w:hAnsi="Verdana" w:cs="Tahoma"/>
                <w:i/>
              </w:rPr>
            </w:pPr>
          </w:p>
          <w:p w14:paraId="59D39BE9" w14:textId="3A0A4716" w:rsidR="000B12AB" w:rsidRPr="00AA6C47" w:rsidRDefault="000B12AB" w:rsidP="00B52710">
            <w:pPr>
              <w:pStyle w:val="PlainText"/>
              <w:ind w:left="317"/>
              <w:rPr>
                <w:rFonts w:ascii="Verdana" w:hAnsi="Verdana" w:cs="Tahoma"/>
                <w:i/>
                <w:sz w:val="18"/>
                <w:szCs w:val="18"/>
              </w:rPr>
            </w:pPr>
            <w:r w:rsidRPr="00315623">
              <w:rPr>
                <w:rFonts w:ascii="Verdana" w:hAnsi="Verdana" w:cs="Tahoma"/>
                <w:i/>
              </w:rPr>
              <w:t>B</w:t>
            </w:r>
            <w:r w:rsidRPr="00AA6C47">
              <w:rPr>
                <w:rFonts w:ascii="Verdana" w:hAnsi="Verdana" w:cs="Tahoma"/>
                <w:i/>
                <w:sz w:val="18"/>
                <w:szCs w:val="18"/>
              </w:rPr>
              <w:t xml:space="preserve">ooking: </w:t>
            </w:r>
          </w:p>
          <w:p w14:paraId="55100749" w14:textId="0B1BAA91" w:rsidR="00585DF7" w:rsidRPr="00AA6C47" w:rsidRDefault="002D2147" w:rsidP="00585DF7">
            <w:pPr>
              <w:pStyle w:val="PlainText"/>
              <w:ind w:left="317"/>
              <w:rPr>
                <w:rFonts w:ascii="Verdana" w:hAnsi="Verdana" w:cs="Tahoma"/>
                <w:sz w:val="18"/>
                <w:szCs w:val="18"/>
              </w:rPr>
            </w:pPr>
            <w:hyperlink r:id="rId6" w:history="1">
              <w:r w:rsidR="00AA6C47" w:rsidRPr="00AA6C47">
                <w:rPr>
                  <w:rStyle w:val="Hyperlink"/>
                  <w:rFonts w:ascii="Verdana" w:hAnsi="Verdana" w:cs="Tahoma"/>
                  <w:sz w:val="18"/>
                  <w:szCs w:val="18"/>
                </w:rPr>
                <w:t>https://www.eventbrite.co.uk/e/the-hamlyn-lecture-2020-a-new-start-a-new-model-a-unique-challenge-tickets-122368644911</w:t>
              </w:r>
            </w:hyperlink>
          </w:p>
          <w:p w14:paraId="26112F0F" w14:textId="77777777" w:rsidR="008678DE" w:rsidRPr="00585DF7" w:rsidRDefault="008678DE" w:rsidP="00B52710">
            <w:pPr>
              <w:pStyle w:val="PlainText"/>
              <w:ind w:left="317"/>
              <w:rPr>
                <w:rFonts w:ascii="Verdana" w:hAnsi="Verdana" w:cs="Tahoma"/>
              </w:rPr>
            </w:pPr>
          </w:p>
        </w:tc>
        <w:tc>
          <w:tcPr>
            <w:tcW w:w="5838" w:type="dxa"/>
          </w:tcPr>
          <w:p w14:paraId="4F5B9CFF" w14:textId="33A2FA76" w:rsidR="00187534" w:rsidRPr="005E7F59" w:rsidRDefault="005E7F59" w:rsidP="00B60A8A">
            <w:pPr>
              <w:ind w:left="67"/>
              <w:rPr>
                <w:rFonts w:ascii="Verdana" w:hAnsi="Verdana" w:cs="Tahoma"/>
                <w:i/>
                <w:sz w:val="24"/>
                <w:szCs w:val="24"/>
              </w:rPr>
            </w:pPr>
            <w:r w:rsidRPr="005E7F59">
              <w:rPr>
                <w:rFonts w:ascii="Verdana" w:hAnsi="Verdana" w:cs="Tahoma"/>
                <w:b/>
                <w:bCs/>
                <w:sz w:val="30"/>
                <w:szCs w:val="30"/>
              </w:rPr>
              <w:lastRenderedPageBreak/>
              <w:t>A new start, a new model, a unique challenge</w:t>
            </w:r>
            <w:r w:rsidRPr="005E7F59">
              <w:rPr>
                <w:rFonts w:ascii="Verdana" w:hAnsi="Verdana" w:cs="Tahoma"/>
                <w:b/>
                <w:bCs/>
                <w:i/>
                <w:sz w:val="30"/>
                <w:szCs w:val="30"/>
              </w:rPr>
              <w:t xml:space="preserve"> </w:t>
            </w:r>
          </w:p>
          <w:p w14:paraId="181A7E1D" w14:textId="77777777" w:rsidR="005E7F59" w:rsidRDefault="005E7F59" w:rsidP="005E7F59">
            <w:pPr>
              <w:ind w:left="67"/>
              <w:rPr>
                <w:rFonts w:ascii="Verdana" w:hAnsi="Verdana" w:cs="Tahoma"/>
                <w:i/>
                <w:sz w:val="24"/>
                <w:szCs w:val="24"/>
              </w:rPr>
            </w:pPr>
          </w:p>
          <w:p w14:paraId="1619DA75" w14:textId="77777777" w:rsidR="00CF08B2" w:rsidRDefault="00B32DEE" w:rsidP="005E7F59">
            <w:pPr>
              <w:ind w:left="67"/>
              <w:rPr>
                <w:rFonts w:ascii="Verdana" w:hAnsi="Verdana" w:cs="Tahoma"/>
              </w:rPr>
            </w:pPr>
            <w:r w:rsidRPr="00FD0FDB">
              <w:rPr>
                <w:rFonts w:ascii="Verdana" w:hAnsi="Verdana" w:cs="Tahoma"/>
                <w:i/>
                <w:sz w:val="24"/>
                <w:szCs w:val="24"/>
              </w:rPr>
              <w:t>Chair:</w:t>
            </w:r>
            <w:r w:rsidR="00282898">
              <w:rPr>
                <w:rFonts w:ascii="Verdana" w:hAnsi="Verdana" w:cs="Tahoma"/>
                <w:sz w:val="24"/>
                <w:szCs w:val="24"/>
              </w:rPr>
              <w:t xml:space="preserve"> </w:t>
            </w:r>
            <w:r w:rsidR="00CF08B2">
              <w:rPr>
                <w:rFonts w:ascii="Verdana" w:hAnsi="Verdana" w:cs="Tahoma"/>
              </w:rPr>
              <w:t>Mr</w:t>
            </w:r>
            <w:r w:rsidR="00CF08B2" w:rsidRPr="00CF08B2">
              <w:rPr>
                <w:rFonts w:ascii="Verdana" w:hAnsi="Verdana" w:cs="Tahoma"/>
              </w:rPr>
              <w:t xml:space="preserve"> Brian Doherty, </w:t>
            </w:r>
          </w:p>
          <w:p w14:paraId="08A2C7B8" w14:textId="44ABECF4" w:rsidR="005E7F59" w:rsidRPr="00CF08B2" w:rsidRDefault="00806A1E" w:rsidP="005E7F59">
            <w:pPr>
              <w:ind w:left="67"/>
              <w:rPr>
                <w:rFonts w:ascii="Verdana" w:hAnsi="Verdana" w:cs="Tahoma"/>
                <w:sz w:val="20"/>
                <w:szCs w:val="20"/>
              </w:rPr>
            </w:pPr>
            <w:r>
              <w:rPr>
                <w:rFonts w:ascii="Verdana" w:hAnsi="Verdana" w:cs="Tahoma"/>
                <w:sz w:val="20"/>
                <w:szCs w:val="20"/>
              </w:rPr>
              <w:lastRenderedPageBreak/>
              <w:t>P</w:t>
            </w:r>
            <w:r w:rsidR="00CF08B2" w:rsidRPr="00CF08B2">
              <w:rPr>
                <w:rFonts w:ascii="Verdana" w:hAnsi="Verdana" w:cs="Tahoma"/>
                <w:sz w:val="20"/>
                <w:szCs w:val="20"/>
              </w:rPr>
              <w:t>reviously Solicitor to the devolved government of Northern Ireland</w:t>
            </w:r>
          </w:p>
          <w:p w14:paraId="67D49297" w14:textId="1E895FBF" w:rsidR="00B60A8A" w:rsidRPr="00D5635C" w:rsidRDefault="00B60A8A" w:rsidP="00B32DEE">
            <w:pPr>
              <w:rPr>
                <w:rFonts w:ascii="Verdana" w:hAnsi="Verdana" w:cs="Tahoma"/>
                <w:sz w:val="24"/>
                <w:szCs w:val="24"/>
              </w:rPr>
            </w:pPr>
          </w:p>
        </w:tc>
        <w:tc>
          <w:tcPr>
            <w:tcW w:w="236" w:type="dxa"/>
          </w:tcPr>
          <w:p w14:paraId="6108A643" w14:textId="77777777" w:rsidR="00672CCF" w:rsidRDefault="00672CCF" w:rsidP="00EE5DF4">
            <w:pPr>
              <w:ind w:right="176"/>
            </w:pPr>
          </w:p>
        </w:tc>
        <w:tc>
          <w:tcPr>
            <w:tcW w:w="236" w:type="dxa"/>
          </w:tcPr>
          <w:p w14:paraId="23DF3866" w14:textId="77777777" w:rsidR="00672CCF" w:rsidRDefault="00672CCF" w:rsidP="00EE5DF4">
            <w:pPr>
              <w:ind w:right="176"/>
            </w:pPr>
          </w:p>
        </w:tc>
      </w:tr>
      <w:tr w:rsidR="00D8723E" w14:paraId="0176FE79" w14:textId="77777777" w:rsidTr="00AA6C47">
        <w:trPr>
          <w:trHeight w:val="1984"/>
        </w:trPr>
        <w:tc>
          <w:tcPr>
            <w:tcW w:w="236" w:type="dxa"/>
          </w:tcPr>
          <w:p w14:paraId="5F453DEA" w14:textId="77777777" w:rsidR="00672CCF" w:rsidRDefault="00672CCF" w:rsidP="00A51750">
            <w:pPr>
              <w:ind w:right="-256"/>
            </w:pPr>
          </w:p>
        </w:tc>
        <w:tc>
          <w:tcPr>
            <w:tcW w:w="236" w:type="dxa"/>
          </w:tcPr>
          <w:p w14:paraId="7E652753" w14:textId="77777777" w:rsidR="00672CCF" w:rsidRPr="0092469C" w:rsidRDefault="00672CCF" w:rsidP="0092469C">
            <w:pPr>
              <w:ind w:left="380" w:right="-391"/>
              <w:rPr>
                <w:sz w:val="24"/>
                <w:szCs w:val="24"/>
              </w:rPr>
            </w:pPr>
          </w:p>
        </w:tc>
        <w:tc>
          <w:tcPr>
            <w:tcW w:w="5624" w:type="dxa"/>
          </w:tcPr>
          <w:p w14:paraId="09A29BE2" w14:textId="3EE77D13" w:rsidR="00672CCF" w:rsidRPr="00315623" w:rsidRDefault="00315623" w:rsidP="007C25AC">
            <w:pPr>
              <w:ind w:left="317" w:right="-391"/>
              <w:rPr>
                <w:rFonts w:ascii="Verdana" w:hAnsi="Verdana" w:cs="Tahoma"/>
                <w:b/>
                <w:sz w:val="20"/>
                <w:szCs w:val="20"/>
              </w:rPr>
            </w:pPr>
            <w:r>
              <w:rPr>
                <w:rFonts w:ascii="Verdana" w:hAnsi="Verdana" w:cs="Tahoma"/>
                <w:b/>
                <w:sz w:val="20"/>
                <w:szCs w:val="20"/>
              </w:rPr>
              <w:t>Lecture 3:</w:t>
            </w:r>
            <w:r w:rsidR="00672CCF" w:rsidRPr="00315623">
              <w:rPr>
                <w:rFonts w:ascii="Verdana" w:hAnsi="Verdana" w:cs="Tahoma"/>
                <w:b/>
                <w:sz w:val="20"/>
                <w:szCs w:val="20"/>
              </w:rPr>
              <w:t xml:space="preserve"> </w:t>
            </w:r>
          </w:p>
          <w:p w14:paraId="313A3537" w14:textId="77777777" w:rsidR="005E7F59" w:rsidRPr="00315623" w:rsidRDefault="005E7F59" w:rsidP="007C25AC">
            <w:pPr>
              <w:ind w:left="317" w:right="-391"/>
              <w:rPr>
                <w:rFonts w:ascii="Verdana" w:hAnsi="Verdana" w:cs="Tahoma"/>
                <w:b/>
                <w:sz w:val="20"/>
                <w:szCs w:val="20"/>
              </w:rPr>
            </w:pPr>
          </w:p>
          <w:p w14:paraId="3E42E2FA" w14:textId="0F9BEC98" w:rsidR="00672CCF" w:rsidRPr="00315623" w:rsidRDefault="005E7F59" w:rsidP="007C25AC">
            <w:pPr>
              <w:ind w:left="317" w:right="-391"/>
              <w:rPr>
                <w:rFonts w:ascii="Verdana" w:hAnsi="Verdana" w:cs="Tahoma"/>
                <w:sz w:val="20"/>
                <w:szCs w:val="20"/>
              </w:rPr>
            </w:pPr>
            <w:r w:rsidRPr="00315623">
              <w:rPr>
                <w:rFonts w:ascii="Verdana" w:hAnsi="Verdana" w:cs="Tahoma"/>
                <w:b/>
                <w:sz w:val="20"/>
                <w:szCs w:val="20"/>
              </w:rPr>
              <w:t>Monday</w:t>
            </w:r>
            <w:r w:rsidR="00990734" w:rsidRPr="00315623">
              <w:rPr>
                <w:rFonts w:ascii="Verdana" w:hAnsi="Verdana" w:cs="Tahoma"/>
                <w:b/>
                <w:sz w:val="20"/>
                <w:szCs w:val="20"/>
              </w:rPr>
              <w:t xml:space="preserve"> 2</w:t>
            </w:r>
            <w:r w:rsidRPr="00315623">
              <w:rPr>
                <w:rFonts w:ascii="Verdana" w:hAnsi="Verdana" w:cs="Tahoma"/>
                <w:b/>
                <w:sz w:val="20"/>
                <w:szCs w:val="20"/>
              </w:rPr>
              <w:t>3</w:t>
            </w:r>
            <w:r w:rsidR="00F66C3A" w:rsidRPr="00315623">
              <w:rPr>
                <w:rFonts w:ascii="Verdana" w:hAnsi="Verdana" w:cs="Tahoma"/>
                <w:b/>
                <w:sz w:val="20"/>
                <w:szCs w:val="20"/>
              </w:rPr>
              <w:t xml:space="preserve"> November</w:t>
            </w:r>
            <w:r w:rsidR="00F66C3A" w:rsidRPr="00315623">
              <w:rPr>
                <w:rFonts w:ascii="Verdana" w:hAnsi="Verdana" w:cs="Tahoma"/>
                <w:sz w:val="20"/>
                <w:szCs w:val="20"/>
              </w:rPr>
              <w:t>,</w:t>
            </w:r>
            <w:r w:rsidR="00334170" w:rsidRPr="00315623">
              <w:rPr>
                <w:rFonts w:ascii="Verdana" w:hAnsi="Verdana" w:cs="Tahoma"/>
                <w:sz w:val="20"/>
                <w:szCs w:val="20"/>
              </w:rPr>
              <w:t xml:space="preserve"> 18.00-19.00</w:t>
            </w:r>
          </w:p>
          <w:p w14:paraId="6DE41F55" w14:textId="729CFF38" w:rsidR="006A73CB" w:rsidRPr="0043085D" w:rsidRDefault="0043085D" w:rsidP="00C67E80">
            <w:pPr>
              <w:ind w:right="-391"/>
              <w:rPr>
                <w:rFonts w:ascii="Verdana" w:hAnsi="Verdana" w:cs="Tahoma"/>
                <w:sz w:val="20"/>
                <w:szCs w:val="20"/>
              </w:rPr>
            </w:pPr>
            <w:r>
              <w:rPr>
                <w:rFonts w:ascii="Verdana" w:hAnsi="Verdana" w:cs="Tahoma"/>
                <w:i/>
                <w:sz w:val="20"/>
                <w:szCs w:val="20"/>
              </w:rPr>
              <w:t xml:space="preserve">    </w:t>
            </w:r>
            <w:r>
              <w:rPr>
                <w:rFonts w:ascii="Verdana" w:hAnsi="Verdana" w:cs="Tahoma"/>
                <w:sz w:val="20"/>
                <w:szCs w:val="20"/>
              </w:rPr>
              <w:t>Hosted by the Honourable Society of Middle Temple</w:t>
            </w:r>
          </w:p>
          <w:p w14:paraId="5EDAF39D" w14:textId="77777777" w:rsidR="0043085D" w:rsidRDefault="0043085D" w:rsidP="007768BB">
            <w:pPr>
              <w:ind w:left="317" w:right="-391"/>
              <w:rPr>
                <w:rFonts w:ascii="Verdana" w:hAnsi="Verdana" w:cs="Tahoma"/>
                <w:i/>
                <w:sz w:val="20"/>
                <w:szCs w:val="20"/>
              </w:rPr>
            </w:pPr>
          </w:p>
          <w:p w14:paraId="2EE5EFCB" w14:textId="5927970F" w:rsidR="005E7F59" w:rsidRPr="00AA6C47" w:rsidRDefault="00707F05" w:rsidP="007768BB">
            <w:pPr>
              <w:ind w:left="317" w:right="-391"/>
              <w:rPr>
                <w:rFonts w:ascii="Verdana" w:hAnsi="Verdana" w:cs="Tahoma"/>
                <w:i/>
                <w:sz w:val="18"/>
                <w:szCs w:val="18"/>
              </w:rPr>
            </w:pPr>
            <w:r w:rsidRPr="00AA6C47">
              <w:rPr>
                <w:rFonts w:ascii="Verdana" w:hAnsi="Verdana" w:cs="Tahoma"/>
                <w:i/>
                <w:sz w:val="18"/>
                <w:szCs w:val="18"/>
              </w:rPr>
              <w:t>Booking:</w:t>
            </w:r>
          </w:p>
          <w:p w14:paraId="226ECACD" w14:textId="3A0CE20F" w:rsidR="00AA6C47" w:rsidRPr="00AA6C47" w:rsidRDefault="00AA6C47" w:rsidP="002D2147">
            <w:pPr>
              <w:ind w:left="317" w:right="173"/>
              <w:rPr>
                <w:rFonts w:ascii="Verdana" w:hAnsi="Verdana" w:cs="Tahoma"/>
                <w:sz w:val="18"/>
                <w:szCs w:val="18"/>
              </w:rPr>
            </w:pPr>
            <w:r w:rsidRPr="00AA6C47">
              <w:rPr>
                <w:rFonts w:ascii="Verdana" w:hAnsi="Verdana" w:cs="Tahoma"/>
                <w:sz w:val="18"/>
                <w:szCs w:val="18"/>
              </w:rPr>
              <w:t xml:space="preserve">Middle Temple members - </w:t>
            </w:r>
            <w:hyperlink r:id="rId7" w:history="1">
              <w:r w:rsidRPr="00AA6C47">
                <w:rPr>
                  <w:rStyle w:val="Hyperlink"/>
                  <w:rFonts w:ascii="Verdana" w:hAnsi="Verdana" w:cs="Tahoma"/>
                  <w:sz w:val="18"/>
                  <w:szCs w:val="18"/>
                </w:rPr>
                <w:t>https://www.middletemple.org.uk/civicrm/event/info?reset=1&amp;id=40584</w:t>
              </w:r>
            </w:hyperlink>
            <w:r w:rsidRPr="00AA6C47">
              <w:rPr>
                <w:rFonts w:ascii="Verdana" w:hAnsi="Verdana" w:cs="Tahoma"/>
                <w:sz w:val="18"/>
                <w:szCs w:val="18"/>
              </w:rPr>
              <w:t xml:space="preserve"> </w:t>
            </w:r>
          </w:p>
          <w:p w14:paraId="5535236C" w14:textId="37EFE605" w:rsidR="006A73CB" w:rsidRDefault="00AA6C47" w:rsidP="00AA6C47">
            <w:pPr>
              <w:ind w:left="317" w:right="-391"/>
              <w:rPr>
                <w:rFonts w:ascii="Verdana" w:hAnsi="Verdana" w:cs="Tahoma"/>
                <w:sz w:val="18"/>
                <w:szCs w:val="18"/>
              </w:rPr>
            </w:pPr>
            <w:r w:rsidRPr="00AA6C47">
              <w:rPr>
                <w:rFonts w:ascii="Verdana" w:hAnsi="Verdana" w:cs="Tahoma"/>
                <w:sz w:val="18"/>
                <w:szCs w:val="18"/>
              </w:rPr>
              <w:t>Non</w:t>
            </w:r>
            <w:r>
              <w:rPr>
                <w:rFonts w:ascii="Verdana" w:hAnsi="Verdana" w:cs="Tahoma"/>
                <w:sz w:val="18"/>
                <w:szCs w:val="18"/>
              </w:rPr>
              <w:t>-</w:t>
            </w:r>
            <w:r w:rsidRPr="00AA6C47">
              <w:rPr>
                <w:rFonts w:ascii="Verdana" w:hAnsi="Verdana" w:cs="Tahoma"/>
                <w:sz w:val="18"/>
                <w:szCs w:val="18"/>
              </w:rPr>
              <w:t xml:space="preserve">Middle Temple members - please email </w:t>
            </w:r>
            <w:hyperlink r:id="rId8" w:history="1">
              <w:r w:rsidR="002D2147" w:rsidRPr="00F67C0A">
                <w:rPr>
                  <w:rStyle w:val="Hyperlink"/>
                  <w:rFonts w:ascii="Verdana" w:hAnsi="Verdana" w:cs="Tahoma"/>
                  <w:sz w:val="18"/>
                  <w:szCs w:val="18"/>
                </w:rPr>
                <w:t>members@middletem</w:t>
              </w:r>
              <w:bookmarkStart w:id="0" w:name="_GoBack"/>
              <w:bookmarkEnd w:id="0"/>
              <w:r w:rsidR="002D2147" w:rsidRPr="00F67C0A">
                <w:rPr>
                  <w:rStyle w:val="Hyperlink"/>
                  <w:rFonts w:ascii="Verdana" w:hAnsi="Verdana" w:cs="Tahoma"/>
                  <w:sz w:val="18"/>
                  <w:szCs w:val="18"/>
                </w:rPr>
                <w:t>p</w:t>
              </w:r>
              <w:r w:rsidR="002D2147" w:rsidRPr="00F67C0A">
                <w:rPr>
                  <w:rStyle w:val="Hyperlink"/>
                  <w:rFonts w:ascii="Verdana" w:hAnsi="Verdana" w:cs="Tahoma"/>
                  <w:sz w:val="18"/>
                  <w:szCs w:val="18"/>
                </w:rPr>
                <w:t>le.org.uk</w:t>
              </w:r>
            </w:hyperlink>
          </w:p>
          <w:p w14:paraId="6392EB06" w14:textId="2B9383D4" w:rsidR="00AA6C47" w:rsidRPr="00315623" w:rsidRDefault="00AA6C47" w:rsidP="00AA6C47">
            <w:pPr>
              <w:ind w:left="317" w:right="-391"/>
              <w:rPr>
                <w:rFonts w:ascii="Verdana" w:hAnsi="Verdana" w:cs="Tahoma"/>
                <w:i/>
                <w:sz w:val="20"/>
                <w:szCs w:val="20"/>
              </w:rPr>
            </w:pPr>
          </w:p>
        </w:tc>
        <w:tc>
          <w:tcPr>
            <w:tcW w:w="5838" w:type="dxa"/>
          </w:tcPr>
          <w:p w14:paraId="78B5A2D3" w14:textId="40E88BC8" w:rsidR="00B32DEE" w:rsidRPr="005E7F59" w:rsidRDefault="005E7F59" w:rsidP="009B1612">
            <w:pPr>
              <w:ind w:left="67"/>
              <w:rPr>
                <w:rFonts w:ascii="Verdana" w:hAnsi="Verdana" w:cs="Tahoma"/>
                <w:b/>
                <w:bCs/>
                <w:sz w:val="24"/>
                <w:szCs w:val="24"/>
                <w:lang w:val="en-NZ"/>
              </w:rPr>
            </w:pPr>
            <w:r w:rsidRPr="005E7F59">
              <w:rPr>
                <w:rFonts w:ascii="Verdana" w:hAnsi="Verdana" w:cs="Tahoma"/>
                <w:b/>
                <w:bCs/>
                <w:sz w:val="30"/>
                <w:szCs w:val="30"/>
              </w:rPr>
              <w:t>Taking stock and looking forward</w:t>
            </w:r>
            <w:r w:rsidRPr="005E7F59">
              <w:rPr>
                <w:rFonts w:ascii="Verdana" w:hAnsi="Verdana" w:cs="Tahoma"/>
                <w:b/>
                <w:bCs/>
                <w:sz w:val="30"/>
                <w:szCs w:val="30"/>
                <w:lang w:val="en-NZ"/>
              </w:rPr>
              <w:t xml:space="preserve"> </w:t>
            </w:r>
          </w:p>
          <w:p w14:paraId="61E1DE7D" w14:textId="77777777" w:rsidR="005E7F59" w:rsidRDefault="005E7F59" w:rsidP="005E7F59">
            <w:pPr>
              <w:ind w:left="67"/>
              <w:rPr>
                <w:rFonts w:ascii="Verdana" w:hAnsi="Verdana" w:cs="Tahoma"/>
                <w:i/>
                <w:sz w:val="24"/>
                <w:szCs w:val="24"/>
              </w:rPr>
            </w:pPr>
          </w:p>
          <w:p w14:paraId="6B346ED0" w14:textId="46B70B16" w:rsidR="00B60A8A" w:rsidRPr="00707F05" w:rsidRDefault="00B32DEE" w:rsidP="005E7F59">
            <w:pPr>
              <w:ind w:left="67"/>
              <w:rPr>
                <w:rFonts w:ascii="Verdana" w:hAnsi="Verdana" w:cs="Tahoma"/>
                <w:sz w:val="24"/>
                <w:szCs w:val="24"/>
              </w:rPr>
            </w:pPr>
            <w:r w:rsidRPr="00FD0FDB">
              <w:rPr>
                <w:rFonts w:ascii="Verdana" w:hAnsi="Verdana" w:cs="Tahoma"/>
                <w:i/>
                <w:sz w:val="24"/>
                <w:szCs w:val="24"/>
              </w:rPr>
              <w:t>Chair:</w:t>
            </w:r>
            <w:r>
              <w:rPr>
                <w:rFonts w:ascii="Verdana" w:hAnsi="Verdana" w:cs="Tahoma"/>
                <w:sz w:val="24"/>
                <w:szCs w:val="24"/>
              </w:rPr>
              <w:t xml:space="preserve"> </w:t>
            </w:r>
            <w:r w:rsidR="00AA6C47">
              <w:rPr>
                <w:rFonts w:ascii="Verdana" w:hAnsi="Verdana" w:cs="Tahoma"/>
                <w:sz w:val="24"/>
                <w:szCs w:val="24"/>
              </w:rPr>
              <w:t>TBC</w:t>
            </w:r>
          </w:p>
        </w:tc>
        <w:tc>
          <w:tcPr>
            <w:tcW w:w="236" w:type="dxa"/>
          </w:tcPr>
          <w:p w14:paraId="558C0CA2" w14:textId="77777777" w:rsidR="00672CCF" w:rsidRDefault="00672CCF" w:rsidP="00EE5DF4">
            <w:pPr>
              <w:ind w:right="176"/>
            </w:pPr>
          </w:p>
        </w:tc>
        <w:tc>
          <w:tcPr>
            <w:tcW w:w="236" w:type="dxa"/>
          </w:tcPr>
          <w:p w14:paraId="78CD926B" w14:textId="77777777" w:rsidR="00672CCF" w:rsidRDefault="00672CCF" w:rsidP="00EE5DF4">
            <w:pPr>
              <w:ind w:right="176"/>
            </w:pPr>
          </w:p>
        </w:tc>
      </w:tr>
      <w:tr w:rsidR="00D8723E" w14:paraId="5D403DDB" w14:textId="77777777" w:rsidTr="00AA6C47">
        <w:trPr>
          <w:trHeight w:val="850"/>
        </w:trPr>
        <w:tc>
          <w:tcPr>
            <w:tcW w:w="236" w:type="dxa"/>
          </w:tcPr>
          <w:p w14:paraId="4D0D1523" w14:textId="77777777" w:rsidR="00D8723E" w:rsidRDefault="00D8723E" w:rsidP="00A51750">
            <w:pPr>
              <w:ind w:right="-256"/>
            </w:pPr>
          </w:p>
        </w:tc>
        <w:tc>
          <w:tcPr>
            <w:tcW w:w="236" w:type="dxa"/>
          </w:tcPr>
          <w:p w14:paraId="09F0CDDD" w14:textId="77777777" w:rsidR="00D8723E" w:rsidRPr="0092469C" w:rsidRDefault="00D8723E" w:rsidP="0092469C">
            <w:pPr>
              <w:ind w:left="380" w:right="-391"/>
              <w:rPr>
                <w:sz w:val="24"/>
                <w:szCs w:val="24"/>
              </w:rPr>
            </w:pPr>
          </w:p>
        </w:tc>
        <w:tc>
          <w:tcPr>
            <w:tcW w:w="5624" w:type="dxa"/>
            <w:vAlign w:val="center"/>
          </w:tcPr>
          <w:p w14:paraId="761656AC" w14:textId="77777777" w:rsidR="008505C1" w:rsidRPr="00BB6491" w:rsidRDefault="00806755" w:rsidP="0043085D">
            <w:pPr>
              <w:spacing w:after="120"/>
              <w:ind w:right="176"/>
              <w:rPr>
                <w:rFonts w:ascii="Verdana" w:hAnsi="Verdana" w:cs="Tahoma"/>
                <w:b/>
                <w:color w:val="C00000"/>
                <w:sz w:val="24"/>
                <w:szCs w:val="24"/>
              </w:rPr>
            </w:pPr>
            <w:r w:rsidRPr="00BB6491">
              <w:rPr>
                <w:rFonts w:ascii="Verdana" w:hAnsi="Verdana" w:cs="Tahoma"/>
                <w:b/>
                <w:color w:val="C00000"/>
                <w:sz w:val="24"/>
                <w:szCs w:val="24"/>
              </w:rPr>
              <w:t>www.law.ex.ac.uk/hamlyn</w:t>
            </w:r>
          </w:p>
          <w:p w14:paraId="5207F7F3" w14:textId="41A7804C" w:rsidR="008505C1" w:rsidRPr="00BB6491" w:rsidRDefault="008505C1" w:rsidP="0043085D">
            <w:pPr>
              <w:ind w:right="176"/>
              <w:rPr>
                <w:rFonts w:ascii="Verdana" w:hAnsi="Verdana" w:cs="Tahoma"/>
                <w:sz w:val="16"/>
                <w:szCs w:val="16"/>
              </w:rPr>
            </w:pPr>
            <w:r w:rsidRPr="00BB6491">
              <w:rPr>
                <w:rFonts w:ascii="Verdana" w:hAnsi="Verdana" w:cs="Tahoma"/>
                <w:b/>
                <w:color w:val="C00000"/>
                <w:sz w:val="24"/>
                <w:szCs w:val="24"/>
              </w:rPr>
              <w:t>www.cambridge.org/haml</w:t>
            </w:r>
            <w:r w:rsidR="0043085D">
              <w:rPr>
                <w:rFonts w:ascii="Verdana" w:hAnsi="Verdana" w:cs="Tahoma"/>
                <w:b/>
                <w:color w:val="C00000"/>
                <w:sz w:val="24"/>
                <w:szCs w:val="24"/>
              </w:rPr>
              <w:t>yn</w:t>
            </w:r>
          </w:p>
        </w:tc>
        <w:tc>
          <w:tcPr>
            <w:tcW w:w="5838" w:type="dxa"/>
            <w:vAlign w:val="center"/>
          </w:tcPr>
          <w:p w14:paraId="16BFFBAC" w14:textId="77777777" w:rsidR="00D8723E" w:rsidRPr="00BB6491" w:rsidRDefault="008505C1" w:rsidP="008505C1">
            <w:pPr>
              <w:ind w:left="67"/>
              <w:rPr>
                <w:rFonts w:ascii="Verdana" w:hAnsi="Verdana" w:cs="Tahoma"/>
                <w:b/>
                <w:sz w:val="16"/>
                <w:szCs w:val="16"/>
              </w:rPr>
            </w:pPr>
            <w:r w:rsidRPr="00BB6491">
              <w:rPr>
                <w:rFonts w:ascii="Verdana" w:hAnsi="Verdana" w:cs="Tahoma"/>
                <w:b/>
                <w:noProof/>
                <w:sz w:val="16"/>
                <w:szCs w:val="16"/>
                <w:lang w:eastAsia="en-GB"/>
              </w:rPr>
              <w:drawing>
                <wp:inline distT="0" distB="0" distL="0" distR="0" wp14:anchorId="3AA9CCFA" wp14:editId="1F296060">
                  <wp:extent cx="2103120" cy="428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947" cy="444674"/>
                          </a:xfrm>
                          <a:prstGeom prst="rect">
                            <a:avLst/>
                          </a:prstGeom>
                          <a:noFill/>
                        </pic:spPr>
                      </pic:pic>
                    </a:graphicData>
                  </a:graphic>
                </wp:inline>
              </w:drawing>
            </w:r>
          </w:p>
        </w:tc>
        <w:tc>
          <w:tcPr>
            <w:tcW w:w="236" w:type="dxa"/>
          </w:tcPr>
          <w:p w14:paraId="5E26B985" w14:textId="77777777" w:rsidR="00D8723E" w:rsidRDefault="00D8723E" w:rsidP="00EE5DF4">
            <w:pPr>
              <w:ind w:right="176"/>
            </w:pPr>
          </w:p>
        </w:tc>
        <w:tc>
          <w:tcPr>
            <w:tcW w:w="236" w:type="dxa"/>
          </w:tcPr>
          <w:p w14:paraId="0EA7FA76" w14:textId="77777777" w:rsidR="00D8723E" w:rsidRDefault="00D8723E" w:rsidP="00EE5DF4">
            <w:pPr>
              <w:ind w:right="176"/>
            </w:pPr>
          </w:p>
        </w:tc>
      </w:tr>
      <w:tr w:rsidR="008505C1" w14:paraId="546EBA10" w14:textId="77777777" w:rsidTr="00AA6C47">
        <w:trPr>
          <w:trHeight w:val="109"/>
        </w:trPr>
        <w:tc>
          <w:tcPr>
            <w:tcW w:w="236" w:type="dxa"/>
          </w:tcPr>
          <w:p w14:paraId="0491F538" w14:textId="77777777" w:rsidR="008505C1" w:rsidRPr="008505C1" w:rsidRDefault="008505C1" w:rsidP="00A51750">
            <w:pPr>
              <w:ind w:right="-256"/>
              <w:rPr>
                <w:sz w:val="12"/>
                <w:szCs w:val="12"/>
              </w:rPr>
            </w:pPr>
          </w:p>
        </w:tc>
        <w:tc>
          <w:tcPr>
            <w:tcW w:w="236" w:type="dxa"/>
          </w:tcPr>
          <w:p w14:paraId="6E792614" w14:textId="77777777" w:rsidR="008505C1" w:rsidRPr="008505C1" w:rsidRDefault="008505C1" w:rsidP="0092469C">
            <w:pPr>
              <w:ind w:left="380" w:right="-391"/>
              <w:rPr>
                <w:sz w:val="12"/>
                <w:szCs w:val="12"/>
              </w:rPr>
            </w:pPr>
          </w:p>
        </w:tc>
        <w:tc>
          <w:tcPr>
            <w:tcW w:w="5624" w:type="dxa"/>
            <w:vAlign w:val="center"/>
          </w:tcPr>
          <w:p w14:paraId="38B6CB12" w14:textId="77777777" w:rsidR="008505C1" w:rsidRPr="008505C1" w:rsidRDefault="008505C1" w:rsidP="008505C1">
            <w:pPr>
              <w:ind w:right="176"/>
              <w:jc w:val="right"/>
              <w:rPr>
                <w:rFonts w:ascii="Arial" w:hAnsi="Arial" w:cs="Arial"/>
                <w:b/>
                <w:color w:val="C00000"/>
                <w:sz w:val="12"/>
                <w:szCs w:val="12"/>
              </w:rPr>
            </w:pPr>
          </w:p>
        </w:tc>
        <w:tc>
          <w:tcPr>
            <w:tcW w:w="5838" w:type="dxa"/>
            <w:vAlign w:val="center"/>
          </w:tcPr>
          <w:p w14:paraId="57994A7A" w14:textId="77777777" w:rsidR="008505C1" w:rsidRPr="008505C1" w:rsidRDefault="008505C1" w:rsidP="008505C1">
            <w:pPr>
              <w:ind w:left="67"/>
              <w:rPr>
                <w:b/>
                <w:noProof/>
                <w:sz w:val="12"/>
                <w:szCs w:val="12"/>
                <w:lang w:eastAsia="en-GB"/>
              </w:rPr>
            </w:pPr>
          </w:p>
        </w:tc>
        <w:tc>
          <w:tcPr>
            <w:tcW w:w="236" w:type="dxa"/>
          </w:tcPr>
          <w:p w14:paraId="2ECB1B77" w14:textId="77777777" w:rsidR="008505C1" w:rsidRPr="008505C1" w:rsidRDefault="008505C1" w:rsidP="00EE5DF4">
            <w:pPr>
              <w:ind w:right="176"/>
              <w:rPr>
                <w:sz w:val="12"/>
                <w:szCs w:val="12"/>
              </w:rPr>
            </w:pPr>
          </w:p>
        </w:tc>
        <w:tc>
          <w:tcPr>
            <w:tcW w:w="236" w:type="dxa"/>
          </w:tcPr>
          <w:p w14:paraId="40E96259" w14:textId="77777777" w:rsidR="008505C1" w:rsidRPr="008505C1" w:rsidRDefault="008505C1" w:rsidP="00EE5DF4">
            <w:pPr>
              <w:ind w:right="176"/>
              <w:rPr>
                <w:sz w:val="12"/>
                <w:szCs w:val="12"/>
              </w:rPr>
            </w:pPr>
          </w:p>
        </w:tc>
      </w:tr>
    </w:tbl>
    <w:p w14:paraId="26355C01" w14:textId="75CFE647" w:rsidR="00315623" w:rsidRPr="00315623" w:rsidRDefault="00315623" w:rsidP="00315623">
      <w:pPr>
        <w:sectPr w:rsidR="00315623" w:rsidRPr="00315623" w:rsidSect="003D1259">
          <w:pgSz w:w="11906" w:h="16838" w:code="9"/>
          <w:pgMar w:top="238" w:right="340" w:bottom="289" w:left="340" w:header="709" w:footer="709" w:gutter="0"/>
          <w:cols w:space="708"/>
          <w:titlePg/>
          <w:docGrid w:linePitch="360"/>
        </w:sectPr>
      </w:pPr>
    </w:p>
    <w:p w14:paraId="36E4C776" w14:textId="01E72A30" w:rsidR="00315623" w:rsidRDefault="00315623" w:rsidP="008505C1">
      <w:pPr>
        <w:ind w:left="-284" w:right="-256"/>
        <w:rPr>
          <w:sz w:val="24"/>
          <w:szCs w:val="24"/>
        </w:rPr>
      </w:pPr>
    </w:p>
    <w:p w14:paraId="6974281C" w14:textId="2A88BA22" w:rsidR="005E7F59" w:rsidRPr="002A1074" w:rsidRDefault="005E7F59" w:rsidP="002A1074">
      <w:pPr>
        <w:ind w:left="-567" w:right="-569"/>
        <w:rPr>
          <w:rFonts w:cstheme="minorHAnsi"/>
          <w:b/>
        </w:rPr>
      </w:pPr>
      <w:r w:rsidRPr="002A1074">
        <w:rPr>
          <w:rFonts w:cstheme="minorHAnsi"/>
          <w:b/>
          <w:bCs/>
        </w:rPr>
        <w:t>The Great Experiment:</w:t>
      </w:r>
      <w:r w:rsidRPr="002A1074">
        <w:rPr>
          <w:rFonts w:cstheme="minorHAnsi"/>
          <w:b/>
        </w:rPr>
        <w:t xml:space="preserve"> </w:t>
      </w:r>
      <w:r w:rsidRPr="002A1074">
        <w:rPr>
          <w:rFonts w:cstheme="minorHAnsi"/>
          <w:b/>
          <w:bCs/>
        </w:rPr>
        <w:t>Constructing a European Union</w:t>
      </w:r>
      <w:r w:rsidRPr="002A1074">
        <w:rPr>
          <w:rFonts w:cstheme="minorHAnsi"/>
          <w:b/>
        </w:rPr>
        <w:t xml:space="preserve"> </w:t>
      </w:r>
      <w:r w:rsidRPr="002A1074">
        <w:rPr>
          <w:rFonts w:cstheme="minorHAnsi"/>
          <w:b/>
          <w:bCs/>
        </w:rPr>
        <w:t xml:space="preserve">under </w:t>
      </w:r>
      <w:r w:rsidR="006A7221">
        <w:rPr>
          <w:rFonts w:cstheme="minorHAnsi"/>
          <w:b/>
          <w:bCs/>
        </w:rPr>
        <w:t>t</w:t>
      </w:r>
      <w:r w:rsidRPr="002A1074">
        <w:rPr>
          <w:rFonts w:cstheme="minorHAnsi"/>
          <w:b/>
          <w:bCs/>
        </w:rPr>
        <w:t xml:space="preserve">he Rule </w:t>
      </w:r>
      <w:r w:rsidR="006A7221">
        <w:rPr>
          <w:rFonts w:cstheme="minorHAnsi"/>
          <w:b/>
          <w:bCs/>
        </w:rPr>
        <w:t>o</w:t>
      </w:r>
      <w:r w:rsidRPr="002A1074">
        <w:rPr>
          <w:rFonts w:cstheme="minorHAnsi"/>
          <w:b/>
          <w:bCs/>
        </w:rPr>
        <w:t>f Law</w:t>
      </w:r>
      <w:r w:rsidRPr="002A1074">
        <w:rPr>
          <w:rFonts w:cstheme="minorHAnsi"/>
          <w:b/>
        </w:rPr>
        <w:t xml:space="preserve"> </w:t>
      </w:r>
      <w:r w:rsidRPr="002A1074">
        <w:rPr>
          <w:rFonts w:cstheme="minorHAnsi"/>
          <w:b/>
          <w:bCs/>
        </w:rPr>
        <w:t>from a Group of Diverse Sovereign States</w:t>
      </w:r>
    </w:p>
    <w:p w14:paraId="2833B2CF" w14:textId="77777777" w:rsidR="005E7F59" w:rsidRPr="002A1074" w:rsidRDefault="005E7F59" w:rsidP="002A1074">
      <w:pPr>
        <w:ind w:left="-567" w:right="-569"/>
        <w:rPr>
          <w:rFonts w:cstheme="minorHAnsi"/>
          <w:b/>
        </w:rPr>
      </w:pPr>
      <w:r w:rsidRPr="002A1074">
        <w:rPr>
          <w:rFonts w:cstheme="minorHAnsi"/>
          <w:b/>
        </w:rPr>
        <w:t>Synopsis</w:t>
      </w:r>
    </w:p>
    <w:p w14:paraId="02E2FB4C" w14:textId="77777777" w:rsidR="005E7F59" w:rsidRPr="002A1074" w:rsidRDefault="005E7F59" w:rsidP="002A1074">
      <w:pPr>
        <w:ind w:left="-567" w:right="-569"/>
        <w:rPr>
          <w:rFonts w:cstheme="minorHAnsi"/>
          <w:b/>
        </w:rPr>
      </w:pPr>
      <w:r w:rsidRPr="002A1074">
        <w:rPr>
          <w:rFonts w:cstheme="minorHAnsi"/>
          <w:b/>
        </w:rPr>
        <w:t>Lecture 1: Competing claims to pre-eminence and the lessons of history</w:t>
      </w:r>
    </w:p>
    <w:p w14:paraId="58CF3AFF" w14:textId="77777777" w:rsidR="005E7F59" w:rsidRPr="002A1074" w:rsidRDefault="005E7F59" w:rsidP="002A1074">
      <w:pPr>
        <w:ind w:left="-567" w:right="-569"/>
        <w:rPr>
          <w:rFonts w:cstheme="minorHAnsi"/>
        </w:rPr>
      </w:pPr>
      <w:r w:rsidRPr="002A1074">
        <w:rPr>
          <w:rFonts w:cstheme="minorHAnsi"/>
        </w:rPr>
        <w:t>Over the centuries, European history has shown a great tendency to repeat itself. At different times, different powers have emerged and enjoyed regional (or wider) pre-eminence. From classical times onwards, trade has followed the flag. Law – or at least the influence of a particular legal system – has followed in their wake, imposed sometimes by consent, often by force. However, the impact of ‘new’ law is not uniform. The law of commercial relations is usually dictated by commercial power, whereas odd corners of private law or land tenure may cling stubbornly and successfully to previous socio-legal patterns and thinking.  As a result, by the early 20</w:t>
      </w:r>
      <w:r w:rsidRPr="002A1074">
        <w:rPr>
          <w:rFonts w:cstheme="minorHAnsi"/>
          <w:vertAlign w:val="superscript"/>
        </w:rPr>
        <w:t>th</w:t>
      </w:r>
      <w:r w:rsidRPr="002A1074">
        <w:rPr>
          <w:rFonts w:cstheme="minorHAnsi"/>
        </w:rPr>
        <w:t xml:space="preserve"> century the Europe of the nation states had become a patchwork quilt of different legal systems. </w:t>
      </w:r>
    </w:p>
    <w:p w14:paraId="0F05B156" w14:textId="7E95E5EC" w:rsidR="005E7F59" w:rsidRPr="002A1074" w:rsidRDefault="005E7F59" w:rsidP="002A1074">
      <w:pPr>
        <w:ind w:left="-567" w:right="-569"/>
        <w:rPr>
          <w:rFonts w:cstheme="minorHAnsi"/>
        </w:rPr>
      </w:pPr>
      <w:r w:rsidRPr="002A1074">
        <w:rPr>
          <w:rFonts w:cstheme="minorHAnsi"/>
        </w:rPr>
        <w:t xml:space="preserve">Individual systems have their strengths and their blind spots. Sometimes, they merely represent different ways of getting to approximately the same place. Does it really matter whether you must have ‘consideration’ (even if it is merely token) for a valid contract to come into existence, rather than needing to adhere to a particular set of formalities laid down in a code?  The influence of any particular system has waxed and waned with the power exerted by its sponsor. Imitation of others’ good ideas has always had its part to play. At the same time, pre-eminence begets rivalry as well as emulation. Alongside struggles for self-determination and independence, contention for economic dominance readily morphed into open conflict. The Great War, for all its carnage, failed to be ‘the war to end wars’. It was instead followed by severe economic depression that spawned more nationalism and isolation. Civilised nations </w:t>
      </w:r>
      <w:r w:rsidRPr="002A1074">
        <w:rPr>
          <w:rFonts w:cstheme="minorHAnsi"/>
        </w:rPr>
        <w:lastRenderedPageBreak/>
        <w:t>with apparently well-developed legal systems proved vulnerable to toxic populism and totalitarianism and were unable to check gross violations of the most basic rights. World War Two left the continent of Europe shattered and in ruins.  The rebuilding project did not merely require bricks and mortar. It called for a new vision of how to run economies and bring together legal systems so as to promote prosperity and safeguard fundamental rights.    </w:t>
      </w:r>
    </w:p>
    <w:p w14:paraId="6870E451" w14:textId="77777777" w:rsidR="005E7F59" w:rsidRPr="002A1074" w:rsidRDefault="005E7F59" w:rsidP="002A1074">
      <w:pPr>
        <w:ind w:left="-567" w:right="-569"/>
        <w:rPr>
          <w:rFonts w:cstheme="minorHAnsi"/>
          <w:b/>
        </w:rPr>
      </w:pPr>
      <w:r w:rsidRPr="002A1074">
        <w:rPr>
          <w:rFonts w:cstheme="minorHAnsi"/>
          <w:b/>
        </w:rPr>
        <w:t>Lecture 2: A new start, a new model, a unique challenge</w:t>
      </w:r>
    </w:p>
    <w:p w14:paraId="4DF3DA7B" w14:textId="77777777" w:rsidR="005E7F59" w:rsidRPr="002A1074" w:rsidRDefault="005E7F59" w:rsidP="002A1074">
      <w:pPr>
        <w:ind w:left="-567" w:right="-569"/>
        <w:rPr>
          <w:rFonts w:cstheme="minorHAnsi"/>
        </w:rPr>
      </w:pPr>
      <w:r w:rsidRPr="002A1074">
        <w:rPr>
          <w:rFonts w:cstheme="minorHAnsi"/>
        </w:rPr>
        <w:t>The founding fathers of the new Europe were idealistic pragmatists. They began by putting coal and steel – the sinews of war – under joint control (thus making future conflict much more difficult) and concentrating on an economic common market with a common external tariff and support for agriculture. Very early on, seminal legal choices were made about the nature, role and authority of the new shared legal system – a system that had somehow to ‘dock’ with the individual disparate national legal systems of the constituent Member States. The doctrines of primacy, supremacy and direct effect, the principle of effectiveness (‘</w:t>
      </w:r>
      <w:proofErr w:type="spellStart"/>
      <w:r w:rsidRPr="002A1074">
        <w:rPr>
          <w:rFonts w:cstheme="minorHAnsi"/>
        </w:rPr>
        <w:t>effet</w:t>
      </w:r>
      <w:proofErr w:type="spellEnd"/>
      <w:r w:rsidRPr="002A1074">
        <w:rPr>
          <w:rFonts w:cstheme="minorHAnsi"/>
        </w:rPr>
        <w:t xml:space="preserve"> utile’) and the parameters of the system of remedies – all ‘created’ by the ECJ, but built on drafting endorsed by the Member States as the masters of the Treaties (‘die </w:t>
      </w:r>
      <w:proofErr w:type="spellStart"/>
      <w:r w:rsidRPr="002A1074">
        <w:rPr>
          <w:rFonts w:cstheme="minorHAnsi"/>
        </w:rPr>
        <w:t>Herren</w:t>
      </w:r>
      <w:proofErr w:type="spellEnd"/>
      <w:r w:rsidRPr="002A1074">
        <w:rPr>
          <w:rFonts w:cstheme="minorHAnsi"/>
        </w:rPr>
        <w:t xml:space="preserve"> der </w:t>
      </w:r>
      <w:proofErr w:type="spellStart"/>
      <w:r w:rsidRPr="002A1074">
        <w:rPr>
          <w:rFonts w:cstheme="minorHAnsi"/>
        </w:rPr>
        <w:t>Verträge</w:t>
      </w:r>
      <w:proofErr w:type="spellEnd"/>
      <w:r w:rsidRPr="002A1074">
        <w:rPr>
          <w:rFonts w:cstheme="minorHAnsi"/>
        </w:rPr>
        <w:t>’) – have played an enormous part in shaping a union of states that is, necessarily and intentionally, radically different from a loose economic confederation linked by a standard international law treaty. The creation of the Area of Freedom, Security and Justice (the ‘AFSJ’), whilst essential, has introduced EU norms into parts of law – immigration law and asylum, police and judicial cooperation, criminal law, even family law – that are much more sensitive and closer to cherished concepts of the State’s imperium than laying down uniform standards for widgets.</w:t>
      </w:r>
    </w:p>
    <w:p w14:paraId="7D53EFD0" w14:textId="2DC32A81" w:rsidR="005E7F59" w:rsidRPr="002A1074" w:rsidRDefault="005E7F59" w:rsidP="002A1074">
      <w:pPr>
        <w:ind w:left="-567" w:right="-569"/>
        <w:rPr>
          <w:rFonts w:cstheme="minorHAnsi"/>
        </w:rPr>
      </w:pPr>
      <w:r w:rsidRPr="002A1074">
        <w:rPr>
          <w:rFonts w:cstheme="minorHAnsi"/>
        </w:rPr>
        <w:t xml:space="preserve">As the project evolved from the European Economic Community to the European Community and then the European Union, it grew in membership, in diversity and in scope. That in turn posed an immense technical and intellectual challenge for the project’s legal system: EU law. To what extent can it (should it?) adjust, now that there are not six but 27 different national traditions and legal systems to be borne </w:t>
      </w:r>
      <w:r w:rsidRPr="002A1074">
        <w:rPr>
          <w:rFonts w:cstheme="minorHAnsi"/>
        </w:rPr>
        <w:lastRenderedPageBreak/>
        <w:t xml:space="preserve">in mind? How should EU law interact with national law (particularly national constitutional law and its national guardians, the national constitutional courts), with the ECHR and the ‘Strasbourg court’ and with international norms? How (and why) is a European Union under the rule of law different from a union based on shared economic or political aspirations that can be horse-traded away if times and popular thinking change? </w:t>
      </w:r>
    </w:p>
    <w:p w14:paraId="1823FADF" w14:textId="77777777" w:rsidR="005E7F59" w:rsidRPr="002A1074" w:rsidRDefault="005E7F59" w:rsidP="002A1074">
      <w:pPr>
        <w:ind w:left="-567" w:right="-569"/>
        <w:rPr>
          <w:rFonts w:cstheme="minorHAnsi"/>
          <w:b/>
        </w:rPr>
      </w:pPr>
      <w:r w:rsidRPr="002A1074">
        <w:rPr>
          <w:rFonts w:cstheme="minorHAnsi"/>
          <w:b/>
        </w:rPr>
        <w:t>Lecture 3: Taking stock and looking forward</w:t>
      </w:r>
    </w:p>
    <w:p w14:paraId="375BFDAD" w14:textId="77777777" w:rsidR="005E7F59" w:rsidRPr="002A1074" w:rsidRDefault="005E7F59" w:rsidP="002A1074">
      <w:pPr>
        <w:ind w:left="-567" w:right="-569"/>
        <w:rPr>
          <w:rFonts w:cstheme="minorHAnsi"/>
        </w:rPr>
      </w:pPr>
      <w:r w:rsidRPr="002A1074">
        <w:rPr>
          <w:rFonts w:cstheme="minorHAnsi"/>
        </w:rPr>
        <w:t>The last few years have not been plain sailing. The financial crisis, the rise of new competing economic powers, major concerns as to security and terrorism, challenges ranging from climate change and the environment to the refugee crisis to technological restructuring, the UK’s painful and time-consuming withdrawal from the project, resurgent populism, the Covid-19 pandemic: all have, in different ways, exposed vulnerabilities and emphasised areas where closer cooperation may be difficult, but is also vital.</w:t>
      </w:r>
    </w:p>
    <w:p w14:paraId="5F1FA652" w14:textId="77777777" w:rsidR="005E7F59" w:rsidRPr="002A1074" w:rsidRDefault="005E7F59" w:rsidP="002A1074">
      <w:pPr>
        <w:ind w:left="-567" w:right="-569"/>
        <w:rPr>
          <w:rFonts w:cstheme="minorHAnsi"/>
        </w:rPr>
      </w:pPr>
      <w:r w:rsidRPr="002A1074">
        <w:rPr>
          <w:rFonts w:cstheme="minorHAnsi"/>
        </w:rPr>
        <w:t>Both Economics 101 and Politics 101 tell us that inter-state cooperation is not an optional extra – it is mandatory. How does the European project need to evolve to live up to its founders’ ambitions and dreams? How do we create a citizens’ Europe, which ordinary people understand and with which they identify? What aspects of the old can perhaps now be discarded, and what, on the contrary, must be safeguarded and strengthened? How do the mechanics and structures of EU law – its legislative process; its supreme court – fit into this jigsaw?</w:t>
      </w:r>
    </w:p>
    <w:p w14:paraId="5C3C74C6" w14:textId="77777777" w:rsidR="005E7F59" w:rsidRPr="002A1074" w:rsidRDefault="005E7F59" w:rsidP="002A1074">
      <w:pPr>
        <w:ind w:left="-567" w:right="-569"/>
        <w:rPr>
          <w:rFonts w:cstheme="minorHAnsi"/>
        </w:rPr>
      </w:pPr>
      <w:r w:rsidRPr="002A1074">
        <w:rPr>
          <w:rFonts w:cstheme="minorHAnsi"/>
        </w:rPr>
        <w:t xml:space="preserve">No crystal ball is to hand to provide simple and obvious answers to any of these questions. Yet history warns us that we have to find solutions if we are to take the project forward. Has the trauma (and tedium) of Brexit created a corresponding siege mentality within the EU that will hamper creative thinking: an environment in which those who ask awkward questions will too easily be side-lined as ‘disloyal’ to the project? Or will there be, in the coming decade, the necessary intellectual space and freedom for </w:t>
      </w:r>
      <w:r w:rsidRPr="002A1074">
        <w:rPr>
          <w:rFonts w:cstheme="minorHAnsi"/>
        </w:rPr>
        <w:lastRenderedPageBreak/>
        <w:t xml:space="preserve">true Europeans to ‘prophesy, dream dreams and see visions’? </w:t>
      </w:r>
      <w:r w:rsidRPr="009C60B8">
        <w:rPr>
          <w:rFonts w:cstheme="minorHAnsi"/>
        </w:rPr>
        <w:t> </w:t>
      </w:r>
      <w:r w:rsidRPr="002A1074">
        <w:rPr>
          <w:rFonts w:cstheme="minorHAnsi"/>
        </w:rPr>
        <w:t>EU law cannot of itself initiate that necessary inspiration. It can, however, be used creatively – in the future as throughout the story so far – to put flesh onto the bones. As a necessary corollary to that, it will be vital to ensure that the European Union continues as a project firmly and reliably under the rule of law, for the sake both of its citizens and of all who have dealings with it.</w:t>
      </w:r>
    </w:p>
    <w:p w14:paraId="5504B9BF" w14:textId="3DBE72C6" w:rsidR="005554AB" w:rsidRPr="002A1074" w:rsidRDefault="005554AB" w:rsidP="005E7F59">
      <w:pPr>
        <w:jc w:val="center"/>
        <w:rPr>
          <w:rFonts w:ascii="Verdana" w:hAnsi="Verdana"/>
        </w:rPr>
      </w:pPr>
    </w:p>
    <w:sectPr w:rsidR="005554AB" w:rsidRPr="002A1074" w:rsidSect="002A1074">
      <w:pgSz w:w="11906" w:h="16838" w:code="9"/>
      <w:pgMar w:top="709" w:right="1418"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771BC"/>
    <w:multiLevelType w:val="hybridMultilevel"/>
    <w:tmpl w:val="6C845F68"/>
    <w:lvl w:ilvl="0" w:tplc="8616A2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F145C"/>
    <w:multiLevelType w:val="hybridMultilevel"/>
    <w:tmpl w:val="F5823AFE"/>
    <w:lvl w:ilvl="0" w:tplc="BEE024CC">
      <w:numFmt w:val="bullet"/>
      <w:lvlText w:val=""/>
      <w:lvlJc w:val="left"/>
      <w:pPr>
        <w:ind w:left="1080" w:hanging="72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50"/>
    <w:rsid w:val="00042146"/>
    <w:rsid w:val="000708AD"/>
    <w:rsid w:val="00076BD9"/>
    <w:rsid w:val="000A236F"/>
    <w:rsid w:val="000A4DC8"/>
    <w:rsid w:val="000B12AB"/>
    <w:rsid w:val="000C24FB"/>
    <w:rsid w:val="000F0CC0"/>
    <w:rsid w:val="00103ED6"/>
    <w:rsid w:val="0012091A"/>
    <w:rsid w:val="00136C17"/>
    <w:rsid w:val="00147C13"/>
    <w:rsid w:val="00176729"/>
    <w:rsid w:val="00177A09"/>
    <w:rsid w:val="00187534"/>
    <w:rsid w:val="001A13C6"/>
    <w:rsid w:val="001A1B78"/>
    <w:rsid w:val="001C26F5"/>
    <w:rsid w:val="001E50E6"/>
    <w:rsid w:val="001E6A23"/>
    <w:rsid w:val="002064D6"/>
    <w:rsid w:val="002209DE"/>
    <w:rsid w:val="0022609A"/>
    <w:rsid w:val="00282898"/>
    <w:rsid w:val="002948DC"/>
    <w:rsid w:val="002A062B"/>
    <w:rsid w:val="002A1074"/>
    <w:rsid w:val="002D2147"/>
    <w:rsid w:val="002F2FBE"/>
    <w:rsid w:val="00315623"/>
    <w:rsid w:val="00315C39"/>
    <w:rsid w:val="003216BA"/>
    <w:rsid w:val="00334170"/>
    <w:rsid w:val="00336DB9"/>
    <w:rsid w:val="003459AF"/>
    <w:rsid w:val="00352069"/>
    <w:rsid w:val="00374B49"/>
    <w:rsid w:val="00382641"/>
    <w:rsid w:val="003A0337"/>
    <w:rsid w:val="003D1259"/>
    <w:rsid w:val="003E1F66"/>
    <w:rsid w:val="004038BD"/>
    <w:rsid w:val="00427672"/>
    <w:rsid w:val="0043085D"/>
    <w:rsid w:val="00481849"/>
    <w:rsid w:val="00483761"/>
    <w:rsid w:val="004D4721"/>
    <w:rsid w:val="004E23E6"/>
    <w:rsid w:val="004E2D59"/>
    <w:rsid w:val="004F07D7"/>
    <w:rsid w:val="005202B1"/>
    <w:rsid w:val="005554AB"/>
    <w:rsid w:val="00585DF7"/>
    <w:rsid w:val="005B5B0C"/>
    <w:rsid w:val="005C4C81"/>
    <w:rsid w:val="005E36CD"/>
    <w:rsid w:val="005E7F59"/>
    <w:rsid w:val="00644526"/>
    <w:rsid w:val="00667D5C"/>
    <w:rsid w:val="00672CCF"/>
    <w:rsid w:val="006A7221"/>
    <w:rsid w:val="006A73CB"/>
    <w:rsid w:val="006E2246"/>
    <w:rsid w:val="00707F05"/>
    <w:rsid w:val="00721E21"/>
    <w:rsid w:val="00722505"/>
    <w:rsid w:val="007261DE"/>
    <w:rsid w:val="00740FA1"/>
    <w:rsid w:val="007768BB"/>
    <w:rsid w:val="00797D72"/>
    <w:rsid w:val="007A5DC7"/>
    <w:rsid w:val="007B13F5"/>
    <w:rsid w:val="007B27EA"/>
    <w:rsid w:val="007B5F69"/>
    <w:rsid w:val="007C25AC"/>
    <w:rsid w:val="007C5D7F"/>
    <w:rsid w:val="007D237A"/>
    <w:rsid w:val="007E58CF"/>
    <w:rsid w:val="00806755"/>
    <w:rsid w:val="00806A1E"/>
    <w:rsid w:val="00840AB7"/>
    <w:rsid w:val="00844345"/>
    <w:rsid w:val="008505C1"/>
    <w:rsid w:val="008654DA"/>
    <w:rsid w:val="008678DE"/>
    <w:rsid w:val="00871388"/>
    <w:rsid w:val="0087182B"/>
    <w:rsid w:val="00892A14"/>
    <w:rsid w:val="008B7C1F"/>
    <w:rsid w:val="008D202A"/>
    <w:rsid w:val="008E6583"/>
    <w:rsid w:val="00920014"/>
    <w:rsid w:val="0092469C"/>
    <w:rsid w:val="0096548E"/>
    <w:rsid w:val="00990734"/>
    <w:rsid w:val="00997D22"/>
    <w:rsid w:val="009B1612"/>
    <w:rsid w:val="009B49EB"/>
    <w:rsid w:val="009B66E3"/>
    <w:rsid w:val="009C60B8"/>
    <w:rsid w:val="009D2850"/>
    <w:rsid w:val="00A07625"/>
    <w:rsid w:val="00A34FF3"/>
    <w:rsid w:val="00A37630"/>
    <w:rsid w:val="00A4217A"/>
    <w:rsid w:val="00A51750"/>
    <w:rsid w:val="00A5605F"/>
    <w:rsid w:val="00A61C39"/>
    <w:rsid w:val="00A87E2E"/>
    <w:rsid w:val="00AA6C47"/>
    <w:rsid w:val="00AC53E1"/>
    <w:rsid w:val="00B00C1F"/>
    <w:rsid w:val="00B03DA6"/>
    <w:rsid w:val="00B2080C"/>
    <w:rsid w:val="00B32DEE"/>
    <w:rsid w:val="00B516F2"/>
    <w:rsid w:val="00B52710"/>
    <w:rsid w:val="00B5694F"/>
    <w:rsid w:val="00B60A8A"/>
    <w:rsid w:val="00B81CE2"/>
    <w:rsid w:val="00B9415C"/>
    <w:rsid w:val="00B95218"/>
    <w:rsid w:val="00BA25E4"/>
    <w:rsid w:val="00BB4898"/>
    <w:rsid w:val="00BB6491"/>
    <w:rsid w:val="00BD0373"/>
    <w:rsid w:val="00BD5473"/>
    <w:rsid w:val="00BD6415"/>
    <w:rsid w:val="00BF1AB3"/>
    <w:rsid w:val="00C17CDD"/>
    <w:rsid w:val="00C2025D"/>
    <w:rsid w:val="00C254A6"/>
    <w:rsid w:val="00C37DF4"/>
    <w:rsid w:val="00C51CC6"/>
    <w:rsid w:val="00C561F8"/>
    <w:rsid w:val="00C6257A"/>
    <w:rsid w:val="00C67E80"/>
    <w:rsid w:val="00C761BD"/>
    <w:rsid w:val="00CA31B7"/>
    <w:rsid w:val="00CB555B"/>
    <w:rsid w:val="00CC606E"/>
    <w:rsid w:val="00CC61B8"/>
    <w:rsid w:val="00CE0191"/>
    <w:rsid w:val="00CF08B2"/>
    <w:rsid w:val="00CF3977"/>
    <w:rsid w:val="00D11670"/>
    <w:rsid w:val="00D5635C"/>
    <w:rsid w:val="00D73E3D"/>
    <w:rsid w:val="00D8326D"/>
    <w:rsid w:val="00D8723E"/>
    <w:rsid w:val="00D96708"/>
    <w:rsid w:val="00DA3B48"/>
    <w:rsid w:val="00DA59A2"/>
    <w:rsid w:val="00DE2A4E"/>
    <w:rsid w:val="00DE3518"/>
    <w:rsid w:val="00DE55CA"/>
    <w:rsid w:val="00DF369B"/>
    <w:rsid w:val="00E23171"/>
    <w:rsid w:val="00E4024E"/>
    <w:rsid w:val="00E55AF9"/>
    <w:rsid w:val="00E90E18"/>
    <w:rsid w:val="00EB376C"/>
    <w:rsid w:val="00ED3148"/>
    <w:rsid w:val="00EE5DF4"/>
    <w:rsid w:val="00F01B40"/>
    <w:rsid w:val="00F3438E"/>
    <w:rsid w:val="00F346A5"/>
    <w:rsid w:val="00F3524E"/>
    <w:rsid w:val="00F37F07"/>
    <w:rsid w:val="00F54B65"/>
    <w:rsid w:val="00F565D5"/>
    <w:rsid w:val="00F65386"/>
    <w:rsid w:val="00F66C3A"/>
    <w:rsid w:val="00F724AC"/>
    <w:rsid w:val="00F8650B"/>
    <w:rsid w:val="00F929EE"/>
    <w:rsid w:val="00FA676B"/>
    <w:rsid w:val="00FD05B4"/>
    <w:rsid w:val="00FD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560D"/>
  <w15:docId w15:val="{18EEDC8A-B030-40AE-9038-750CC89C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4D6"/>
    <w:rPr>
      <w:rFonts w:ascii="Tahoma" w:hAnsi="Tahoma" w:cs="Tahoma"/>
      <w:sz w:val="16"/>
      <w:szCs w:val="16"/>
    </w:rPr>
  </w:style>
  <w:style w:type="character" w:styleId="Hyperlink">
    <w:name w:val="Hyperlink"/>
    <w:basedOn w:val="DefaultParagraphFont"/>
    <w:uiPriority w:val="99"/>
    <w:unhideWhenUsed/>
    <w:rsid w:val="000708AD"/>
    <w:rPr>
      <w:color w:val="0000FF" w:themeColor="hyperlink"/>
      <w:u w:val="single"/>
    </w:rPr>
  </w:style>
  <w:style w:type="paragraph" w:styleId="ListParagraph">
    <w:name w:val="List Paragraph"/>
    <w:basedOn w:val="Normal"/>
    <w:uiPriority w:val="34"/>
    <w:qFormat/>
    <w:rsid w:val="00BF1AB3"/>
    <w:pPr>
      <w:ind w:left="720"/>
      <w:contextualSpacing/>
    </w:pPr>
  </w:style>
  <w:style w:type="character" w:styleId="FollowedHyperlink">
    <w:name w:val="FollowedHyperlink"/>
    <w:basedOn w:val="DefaultParagraphFont"/>
    <w:uiPriority w:val="99"/>
    <w:semiHidden/>
    <w:unhideWhenUsed/>
    <w:rsid w:val="00A4217A"/>
    <w:rPr>
      <w:color w:val="800080" w:themeColor="followedHyperlink"/>
      <w:u w:val="single"/>
    </w:rPr>
  </w:style>
  <w:style w:type="paragraph" w:styleId="PlainText">
    <w:name w:val="Plain Text"/>
    <w:basedOn w:val="Normal"/>
    <w:link w:val="PlainTextChar"/>
    <w:uiPriority w:val="99"/>
    <w:unhideWhenUsed/>
    <w:rsid w:val="0092469C"/>
    <w:pPr>
      <w:spacing w:after="0" w:line="240" w:lineRule="auto"/>
    </w:pPr>
    <w:rPr>
      <w:rFonts w:ascii="Arial" w:eastAsiaTheme="minorEastAsia" w:hAnsi="Arial" w:cs="Arial"/>
      <w:sz w:val="20"/>
      <w:szCs w:val="20"/>
      <w:lang w:eastAsia="en-GB"/>
    </w:rPr>
  </w:style>
  <w:style w:type="character" w:customStyle="1" w:styleId="PlainTextChar">
    <w:name w:val="Plain Text Char"/>
    <w:basedOn w:val="DefaultParagraphFont"/>
    <w:link w:val="PlainText"/>
    <w:uiPriority w:val="99"/>
    <w:rsid w:val="0092469C"/>
    <w:rPr>
      <w:rFonts w:ascii="Arial" w:eastAsiaTheme="minorEastAsia" w:hAnsi="Arial" w:cs="Arial"/>
      <w:sz w:val="20"/>
      <w:szCs w:val="20"/>
      <w:lang w:eastAsia="en-GB"/>
    </w:rPr>
  </w:style>
  <w:style w:type="character" w:customStyle="1" w:styleId="apple-converted-space">
    <w:name w:val="apple-converted-space"/>
    <w:basedOn w:val="DefaultParagraphFont"/>
    <w:rsid w:val="00CB555B"/>
  </w:style>
  <w:style w:type="character" w:styleId="CommentReference">
    <w:name w:val="annotation reference"/>
    <w:basedOn w:val="DefaultParagraphFont"/>
    <w:uiPriority w:val="99"/>
    <w:semiHidden/>
    <w:unhideWhenUsed/>
    <w:rsid w:val="00FA676B"/>
    <w:rPr>
      <w:sz w:val="16"/>
      <w:szCs w:val="16"/>
    </w:rPr>
  </w:style>
  <w:style w:type="paragraph" w:styleId="CommentText">
    <w:name w:val="annotation text"/>
    <w:basedOn w:val="Normal"/>
    <w:link w:val="CommentTextChar"/>
    <w:uiPriority w:val="99"/>
    <w:semiHidden/>
    <w:unhideWhenUsed/>
    <w:rsid w:val="00FA676B"/>
    <w:pPr>
      <w:spacing w:line="240" w:lineRule="auto"/>
    </w:pPr>
    <w:rPr>
      <w:sz w:val="20"/>
      <w:szCs w:val="20"/>
    </w:rPr>
  </w:style>
  <w:style w:type="character" w:customStyle="1" w:styleId="CommentTextChar">
    <w:name w:val="Comment Text Char"/>
    <w:basedOn w:val="DefaultParagraphFont"/>
    <w:link w:val="CommentText"/>
    <w:uiPriority w:val="99"/>
    <w:semiHidden/>
    <w:rsid w:val="00FA676B"/>
    <w:rPr>
      <w:sz w:val="20"/>
      <w:szCs w:val="20"/>
    </w:rPr>
  </w:style>
  <w:style w:type="paragraph" w:styleId="CommentSubject">
    <w:name w:val="annotation subject"/>
    <w:basedOn w:val="CommentText"/>
    <w:next w:val="CommentText"/>
    <w:link w:val="CommentSubjectChar"/>
    <w:uiPriority w:val="99"/>
    <w:semiHidden/>
    <w:unhideWhenUsed/>
    <w:rsid w:val="00FA676B"/>
    <w:rPr>
      <w:b/>
      <w:bCs/>
    </w:rPr>
  </w:style>
  <w:style w:type="character" w:customStyle="1" w:styleId="CommentSubjectChar">
    <w:name w:val="Comment Subject Char"/>
    <w:basedOn w:val="CommentTextChar"/>
    <w:link w:val="CommentSubject"/>
    <w:uiPriority w:val="99"/>
    <w:semiHidden/>
    <w:rsid w:val="00FA676B"/>
    <w:rPr>
      <w:b/>
      <w:bCs/>
      <w:sz w:val="20"/>
      <w:szCs w:val="20"/>
    </w:rPr>
  </w:style>
  <w:style w:type="paragraph" w:styleId="Revision">
    <w:name w:val="Revision"/>
    <w:hidden/>
    <w:uiPriority w:val="99"/>
    <w:semiHidden/>
    <w:rsid w:val="00990734"/>
    <w:pPr>
      <w:spacing w:after="0" w:line="240" w:lineRule="auto"/>
    </w:pPr>
  </w:style>
  <w:style w:type="character" w:customStyle="1" w:styleId="UnresolvedMention">
    <w:name w:val="Unresolved Mention"/>
    <w:basedOn w:val="DefaultParagraphFont"/>
    <w:uiPriority w:val="99"/>
    <w:semiHidden/>
    <w:unhideWhenUsed/>
    <w:rsid w:val="00AA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613">
      <w:bodyDiv w:val="1"/>
      <w:marLeft w:val="0"/>
      <w:marRight w:val="0"/>
      <w:marTop w:val="0"/>
      <w:marBottom w:val="0"/>
      <w:divBdr>
        <w:top w:val="none" w:sz="0" w:space="0" w:color="auto"/>
        <w:left w:val="none" w:sz="0" w:space="0" w:color="auto"/>
        <w:bottom w:val="none" w:sz="0" w:space="0" w:color="auto"/>
        <w:right w:val="none" w:sz="0" w:space="0" w:color="auto"/>
      </w:divBdr>
    </w:div>
    <w:div w:id="621573811">
      <w:bodyDiv w:val="1"/>
      <w:marLeft w:val="0"/>
      <w:marRight w:val="0"/>
      <w:marTop w:val="0"/>
      <w:marBottom w:val="0"/>
      <w:divBdr>
        <w:top w:val="none" w:sz="0" w:space="0" w:color="auto"/>
        <w:left w:val="none" w:sz="0" w:space="0" w:color="auto"/>
        <w:bottom w:val="none" w:sz="0" w:space="0" w:color="auto"/>
        <w:right w:val="none" w:sz="0" w:space="0" w:color="auto"/>
      </w:divBdr>
    </w:div>
    <w:div w:id="815562704">
      <w:bodyDiv w:val="1"/>
      <w:marLeft w:val="0"/>
      <w:marRight w:val="0"/>
      <w:marTop w:val="0"/>
      <w:marBottom w:val="0"/>
      <w:divBdr>
        <w:top w:val="none" w:sz="0" w:space="0" w:color="auto"/>
        <w:left w:val="none" w:sz="0" w:space="0" w:color="auto"/>
        <w:bottom w:val="none" w:sz="0" w:space="0" w:color="auto"/>
        <w:right w:val="none" w:sz="0" w:space="0" w:color="auto"/>
      </w:divBdr>
    </w:div>
    <w:div w:id="862330569">
      <w:bodyDiv w:val="1"/>
      <w:marLeft w:val="0"/>
      <w:marRight w:val="0"/>
      <w:marTop w:val="0"/>
      <w:marBottom w:val="0"/>
      <w:divBdr>
        <w:top w:val="none" w:sz="0" w:space="0" w:color="auto"/>
        <w:left w:val="none" w:sz="0" w:space="0" w:color="auto"/>
        <w:bottom w:val="none" w:sz="0" w:space="0" w:color="auto"/>
        <w:right w:val="none" w:sz="0" w:space="0" w:color="auto"/>
      </w:divBdr>
    </w:div>
    <w:div w:id="1196695085">
      <w:bodyDiv w:val="1"/>
      <w:marLeft w:val="0"/>
      <w:marRight w:val="0"/>
      <w:marTop w:val="0"/>
      <w:marBottom w:val="0"/>
      <w:divBdr>
        <w:top w:val="none" w:sz="0" w:space="0" w:color="auto"/>
        <w:left w:val="none" w:sz="0" w:space="0" w:color="auto"/>
        <w:bottom w:val="none" w:sz="0" w:space="0" w:color="auto"/>
        <w:right w:val="none" w:sz="0" w:space="0" w:color="auto"/>
      </w:divBdr>
    </w:div>
    <w:div w:id="1212232091">
      <w:bodyDiv w:val="1"/>
      <w:marLeft w:val="0"/>
      <w:marRight w:val="0"/>
      <w:marTop w:val="0"/>
      <w:marBottom w:val="0"/>
      <w:divBdr>
        <w:top w:val="none" w:sz="0" w:space="0" w:color="auto"/>
        <w:left w:val="none" w:sz="0" w:space="0" w:color="auto"/>
        <w:bottom w:val="none" w:sz="0" w:space="0" w:color="auto"/>
        <w:right w:val="none" w:sz="0" w:space="0" w:color="auto"/>
      </w:divBdr>
    </w:div>
    <w:div w:id="1372803827">
      <w:bodyDiv w:val="1"/>
      <w:marLeft w:val="0"/>
      <w:marRight w:val="0"/>
      <w:marTop w:val="0"/>
      <w:marBottom w:val="0"/>
      <w:divBdr>
        <w:top w:val="none" w:sz="0" w:space="0" w:color="auto"/>
        <w:left w:val="none" w:sz="0" w:space="0" w:color="auto"/>
        <w:bottom w:val="none" w:sz="0" w:space="0" w:color="auto"/>
        <w:right w:val="none" w:sz="0" w:space="0" w:color="auto"/>
      </w:divBdr>
    </w:div>
    <w:div w:id="1423188317">
      <w:bodyDiv w:val="1"/>
      <w:marLeft w:val="0"/>
      <w:marRight w:val="0"/>
      <w:marTop w:val="0"/>
      <w:marBottom w:val="0"/>
      <w:divBdr>
        <w:top w:val="none" w:sz="0" w:space="0" w:color="auto"/>
        <w:left w:val="none" w:sz="0" w:space="0" w:color="auto"/>
        <w:bottom w:val="none" w:sz="0" w:space="0" w:color="auto"/>
        <w:right w:val="none" w:sz="0" w:space="0" w:color="auto"/>
      </w:divBdr>
    </w:div>
    <w:div w:id="1672289916">
      <w:bodyDiv w:val="1"/>
      <w:marLeft w:val="0"/>
      <w:marRight w:val="0"/>
      <w:marTop w:val="0"/>
      <w:marBottom w:val="0"/>
      <w:divBdr>
        <w:top w:val="none" w:sz="0" w:space="0" w:color="auto"/>
        <w:left w:val="none" w:sz="0" w:space="0" w:color="auto"/>
        <w:bottom w:val="none" w:sz="0" w:space="0" w:color="auto"/>
        <w:right w:val="none" w:sz="0" w:space="0" w:color="auto"/>
      </w:divBdr>
    </w:div>
    <w:div w:id="19486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middletemple.org.uk" TargetMode="External"/><Relationship Id="rId3" Type="http://schemas.openxmlformats.org/officeDocument/2006/relationships/settings" Target="settings.xml"/><Relationship Id="rId7" Type="http://schemas.openxmlformats.org/officeDocument/2006/relationships/hyperlink" Target="https://www.middletemple.org.uk/civicrm/event/info?reset=1&amp;id=405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the-hamlyn-lecture-2020-a-new-start-a-new-model-a-unique-challenge-tickets-122368644911" TargetMode="External"/><Relationship Id="rId11" Type="http://schemas.openxmlformats.org/officeDocument/2006/relationships/theme" Target="theme/theme1.xml"/><Relationship Id="rId5" Type="http://schemas.openxmlformats.org/officeDocument/2006/relationships/hyperlink" Target="https://www.eventbrite.co.uk/e/competing-claims-to-pre-eminence-and-the-lessons-of-history-registration-1176322361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belinda.crothers</dc:creator>
  <cp:keywords/>
  <dc:description/>
  <cp:lastModifiedBy>Sally Yorke</cp:lastModifiedBy>
  <cp:revision>3</cp:revision>
  <cp:lastPrinted>2019-07-18T13:27:00Z</cp:lastPrinted>
  <dcterms:created xsi:type="dcterms:W3CDTF">2020-09-25T14:18:00Z</dcterms:created>
  <dcterms:modified xsi:type="dcterms:W3CDTF">2020-09-25T14:20:00Z</dcterms:modified>
</cp:coreProperties>
</file>