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0287E" w14:textId="184BB2B9" w:rsidR="00C81461" w:rsidRDefault="008F0EA1" w:rsidP="003E5C22">
      <w:pPr>
        <w:spacing w:line="480" w:lineRule="auto"/>
        <w:rPr>
          <w:b/>
          <w:bCs/>
        </w:rPr>
      </w:pPr>
      <w:r w:rsidRPr="00BD442D">
        <w:rPr>
          <w:b/>
          <w:bCs/>
        </w:rPr>
        <w:t>The WHO’s International Health Regulations are not fit for purpose. Discuss.</w:t>
      </w:r>
    </w:p>
    <w:p w14:paraId="3E1B29BF" w14:textId="090F1326" w:rsidR="00CC4C3A" w:rsidRPr="00CC4C3A" w:rsidRDefault="00CC4C3A" w:rsidP="003E5C22">
      <w:pPr>
        <w:spacing w:line="480" w:lineRule="auto"/>
      </w:pPr>
      <w:r>
        <w:t>“</w:t>
      </w:r>
      <w:r w:rsidR="00D05834">
        <w:t xml:space="preserve">Il y a </w:t>
      </w:r>
      <w:proofErr w:type="spellStart"/>
      <w:r w:rsidR="00D05834">
        <w:t>eu</w:t>
      </w:r>
      <w:proofErr w:type="spellEnd"/>
      <w:r w:rsidR="00D05834">
        <w:t xml:space="preserve"> dans le monde </w:t>
      </w:r>
      <w:proofErr w:type="spellStart"/>
      <w:r w:rsidR="00D05834">
        <w:t>autant</w:t>
      </w:r>
      <w:proofErr w:type="spellEnd"/>
      <w:r w:rsidR="00D05834">
        <w:t xml:space="preserve"> de </w:t>
      </w:r>
      <w:proofErr w:type="spellStart"/>
      <w:r w:rsidR="00D05834">
        <w:t>pestes</w:t>
      </w:r>
      <w:proofErr w:type="spellEnd"/>
      <w:r w:rsidR="00D05834">
        <w:t xml:space="preserve"> que de </w:t>
      </w:r>
      <w:proofErr w:type="spellStart"/>
      <w:r w:rsidR="00D05834">
        <w:t>guerres</w:t>
      </w:r>
      <w:proofErr w:type="spellEnd"/>
      <w:r w:rsidR="00D05834">
        <w:t xml:space="preserve">. Et </w:t>
      </w:r>
      <w:proofErr w:type="spellStart"/>
      <w:r w:rsidR="00D05834">
        <w:t>pourtant</w:t>
      </w:r>
      <w:proofErr w:type="spellEnd"/>
      <w:r w:rsidR="00D05834">
        <w:t xml:space="preserve"> </w:t>
      </w:r>
      <w:proofErr w:type="spellStart"/>
      <w:r w:rsidR="00D05834">
        <w:t>pestes</w:t>
      </w:r>
      <w:proofErr w:type="spellEnd"/>
      <w:r w:rsidR="00D05834">
        <w:t xml:space="preserve"> et </w:t>
      </w:r>
      <w:proofErr w:type="spellStart"/>
      <w:r w:rsidR="00D05834">
        <w:t>guerres</w:t>
      </w:r>
      <w:proofErr w:type="spellEnd"/>
      <w:r w:rsidR="00D05834">
        <w:t xml:space="preserve"> </w:t>
      </w:r>
      <w:proofErr w:type="spellStart"/>
      <w:r w:rsidR="00D05834">
        <w:t>trouvent</w:t>
      </w:r>
      <w:proofErr w:type="spellEnd"/>
      <w:r w:rsidR="00D05834">
        <w:t xml:space="preserve"> les gens </w:t>
      </w:r>
      <w:proofErr w:type="spellStart"/>
      <w:r w:rsidR="00D05834">
        <w:t>toujours</w:t>
      </w:r>
      <w:proofErr w:type="spellEnd"/>
      <w:r w:rsidR="00D05834">
        <w:t xml:space="preserve"> </w:t>
      </w:r>
      <w:proofErr w:type="spellStart"/>
      <w:r w:rsidR="00D05834">
        <w:t>aussi</w:t>
      </w:r>
      <w:proofErr w:type="spellEnd"/>
      <w:r w:rsidR="00D05834">
        <w:t xml:space="preserve"> </w:t>
      </w:r>
      <w:proofErr w:type="spellStart"/>
      <w:r w:rsidR="00D05834">
        <w:t>dépourvus</w:t>
      </w:r>
      <w:proofErr w:type="spellEnd"/>
      <w:r w:rsidR="00D05834">
        <w:t>.</w:t>
      </w:r>
      <w:r>
        <w:t>"</w:t>
      </w:r>
      <w:r w:rsidR="00723295">
        <w:rPr>
          <w:rStyle w:val="FootnoteReference"/>
        </w:rPr>
        <w:footnoteReference w:id="1"/>
      </w:r>
    </w:p>
    <w:p w14:paraId="010D9E3C" w14:textId="3D69A933" w:rsidR="008F0EA1" w:rsidRPr="00BD442D" w:rsidRDefault="002B372F" w:rsidP="003E5C22">
      <w:pPr>
        <w:spacing w:line="480" w:lineRule="auto"/>
        <w:rPr>
          <w:u w:val="single"/>
        </w:rPr>
      </w:pPr>
      <w:r>
        <w:rPr>
          <w:u w:val="single"/>
        </w:rPr>
        <w:t>The Question</w:t>
      </w:r>
    </w:p>
    <w:p w14:paraId="0D7E7062" w14:textId="63F474CA" w:rsidR="00313692" w:rsidRDefault="00313692" w:rsidP="003E5C22">
      <w:pPr>
        <w:pStyle w:val="ListParagraph"/>
        <w:numPr>
          <w:ilvl w:val="0"/>
          <w:numId w:val="1"/>
        </w:numPr>
        <w:spacing w:line="480" w:lineRule="auto"/>
      </w:pPr>
      <w:r>
        <w:t>The International Health Regulations 2005</w:t>
      </w:r>
      <w:r w:rsidR="007B7CE7">
        <w:t xml:space="preserve"> (IHR</w:t>
      </w:r>
      <w:r w:rsidR="00D3317B">
        <w:t>)</w:t>
      </w:r>
      <w:r>
        <w:t xml:space="preserve"> </w:t>
      </w:r>
      <w:r w:rsidR="00135DEE">
        <w:t>contain</w:t>
      </w:r>
      <w:r w:rsidR="000F14EE">
        <w:t xml:space="preserve"> </w:t>
      </w:r>
      <w:r w:rsidR="001746C9">
        <w:t>their</w:t>
      </w:r>
      <w:r w:rsidR="00135DEE">
        <w:t xml:space="preserve"> </w:t>
      </w:r>
      <w:r>
        <w:t>purpose:</w:t>
      </w:r>
    </w:p>
    <w:p w14:paraId="3EE4C431" w14:textId="74D95715" w:rsidR="00381475" w:rsidRDefault="00313692" w:rsidP="003E5C22">
      <w:pPr>
        <w:spacing w:line="480" w:lineRule="auto"/>
        <w:ind w:left="720"/>
      </w:pPr>
      <w:r>
        <w:t>“</w:t>
      </w:r>
      <w:r w:rsidR="00381475">
        <w:t>The purpose and scope of these Regulations are to prevent, protect against, control and provide a public health response to the international spread of disease in ways that are commensurate with and restricted to public health risks, and which avoid unnecessary interference with international traffic and trade.</w:t>
      </w:r>
      <w:r>
        <w:t>”</w:t>
      </w:r>
      <w:r w:rsidR="007E49CD">
        <w:rPr>
          <w:rStyle w:val="FootnoteReference"/>
        </w:rPr>
        <w:footnoteReference w:id="2"/>
      </w:r>
    </w:p>
    <w:p w14:paraId="2CB86705" w14:textId="1A639EAD" w:rsidR="000F277F" w:rsidRDefault="00807227" w:rsidP="003E5C22">
      <w:pPr>
        <w:pStyle w:val="ListParagraph"/>
        <w:numPr>
          <w:ilvl w:val="0"/>
          <w:numId w:val="1"/>
        </w:numPr>
        <w:spacing w:line="480" w:lineRule="auto"/>
      </w:pPr>
      <w:r>
        <w:t>The task of the IHR</w:t>
      </w:r>
      <w:r w:rsidR="00FC5FA4">
        <w:t>, then,</w:t>
      </w:r>
      <w:r>
        <w:t xml:space="preserve"> is not </w:t>
      </w:r>
      <w:r w:rsidR="00750A52">
        <w:t xml:space="preserve">simply or only </w:t>
      </w:r>
      <w:r>
        <w:t>to prevent disease</w:t>
      </w:r>
      <w:r w:rsidR="00442402">
        <w:t xml:space="preserve">. Rather, </w:t>
      </w:r>
      <w:r w:rsidR="005F5C46">
        <w:t xml:space="preserve">they </w:t>
      </w:r>
      <w:r w:rsidR="0098198C">
        <w:t>we</w:t>
      </w:r>
      <w:r w:rsidR="005F5C46">
        <w:t>re intended to maintain proportionality</w:t>
      </w:r>
      <w:r w:rsidR="00E1523F">
        <w:t>,</w:t>
      </w:r>
      <w:r w:rsidR="005F5C46">
        <w:t xml:space="preserve"> between </w:t>
      </w:r>
      <w:r w:rsidR="00AC679E">
        <w:t xml:space="preserve">national </w:t>
      </w:r>
      <w:r w:rsidR="001466BE">
        <w:t>public health</w:t>
      </w:r>
      <w:r w:rsidR="00AC679E">
        <w:t xml:space="preserve"> efforts</w:t>
      </w:r>
      <w:r w:rsidR="001466BE">
        <w:t xml:space="preserve"> </w:t>
      </w:r>
      <w:r w:rsidR="00823052">
        <w:t xml:space="preserve">on one hand and </w:t>
      </w:r>
      <w:r w:rsidR="00AC679E">
        <w:t xml:space="preserve">international </w:t>
      </w:r>
      <w:r w:rsidR="001406AE">
        <w:t xml:space="preserve">freedom of </w:t>
      </w:r>
      <w:r w:rsidR="007066F0">
        <w:t xml:space="preserve">commerce and </w:t>
      </w:r>
      <w:r w:rsidR="00D843C2">
        <w:t>movement</w:t>
      </w:r>
      <w:r w:rsidR="001406AE">
        <w:t xml:space="preserve"> on the other</w:t>
      </w:r>
      <w:r w:rsidR="000758D5">
        <w:t xml:space="preserve">, </w:t>
      </w:r>
      <w:r w:rsidR="00213355">
        <w:t>the</w:t>
      </w:r>
      <w:r w:rsidR="001741E9">
        <w:t xml:space="preserve"> World Health Assembl</w:t>
      </w:r>
      <w:r w:rsidR="00B42029">
        <w:t>y</w:t>
      </w:r>
      <w:r w:rsidR="001741E9">
        <w:t xml:space="preserve"> having assumed </w:t>
      </w:r>
      <w:r w:rsidR="00220664">
        <w:t xml:space="preserve">an inherent tension between these two spheres. </w:t>
      </w:r>
      <w:r w:rsidR="00C34E77">
        <w:t>Do the IHR succeed in this</w:t>
      </w:r>
      <w:r w:rsidR="00FB4120">
        <w:t>?</w:t>
      </w:r>
      <w:r w:rsidR="000A2B80">
        <w:t xml:space="preserve"> If not, can they succeed?</w:t>
      </w:r>
    </w:p>
    <w:p w14:paraId="4D2475AF" w14:textId="049344E6" w:rsidR="000F277F" w:rsidRDefault="000F277F" w:rsidP="003E5C22">
      <w:pPr>
        <w:spacing w:line="480" w:lineRule="auto"/>
      </w:pPr>
      <w:r w:rsidRPr="000F277F">
        <w:rPr>
          <w:u w:val="single"/>
        </w:rPr>
        <w:t>Preliminary matters</w:t>
      </w:r>
    </w:p>
    <w:p w14:paraId="50EEC1CE" w14:textId="42903FF9" w:rsidR="005E0685" w:rsidRDefault="00FF1282" w:rsidP="003E5C22">
      <w:pPr>
        <w:pStyle w:val="ListParagraph"/>
        <w:numPr>
          <w:ilvl w:val="0"/>
          <w:numId w:val="1"/>
        </w:numPr>
        <w:spacing w:line="480" w:lineRule="auto"/>
      </w:pPr>
      <w:r>
        <w:t xml:space="preserve">This </w:t>
      </w:r>
      <w:r w:rsidR="00AA2F29">
        <w:t>essay</w:t>
      </w:r>
      <w:r>
        <w:t xml:space="preserve"> is written in interesting times. </w:t>
      </w:r>
      <w:r w:rsidR="00A7443E">
        <w:t xml:space="preserve">The author is thus compelled to make certain non-legal assumptions </w:t>
      </w:r>
      <w:r w:rsidR="002458E2">
        <w:t xml:space="preserve">about </w:t>
      </w:r>
      <w:r w:rsidR="000615F0">
        <w:t xml:space="preserve">the prevailing circumstances, namely, that the present COVID-19 pandemic </w:t>
      </w:r>
      <w:r w:rsidR="00AA3D09">
        <w:t>remains</w:t>
      </w:r>
      <w:r w:rsidR="000615F0">
        <w:t xml:space="preserve"> </w:t>
      </w:r>
      <w:r w:rsidR="00F375F4">
        <w:t>a grave and serious risk to global health;</w:t>
      </w:r>
      <w:r w:rsidR="00543CFD">
        <w:t xml:space="preserve"> that</w:t>
      </w:r>
      <w:r w:rsidR="00321FC3">
        <w:t xml:space="preserve"> </w:t>
      </w:r>
      <w:r w:rsidR="001A6FEF">
        <w:t xml:space="preserve">international trade and traffic have been </w:t>
      </w:r>
      <w:r w:rsidR="00A06009">
        <w:t>severely if not incalculably damaged</w:t>
      </w:r>
      <w:r w:rsidR="00514E58">
        <w:t xml:space="preserve"> thereby</w:t>
      </w:r>
      <w:r w:rsidR="0085394E">
        <w:t>; and t</w:t>
      </w:r>
      <w:r w:rsidR="00481A63">
        <w:t xml:space="preserve">he IHR </w:t>
      </w:r>
      <w:r w:rsidR="00514E58">
        <w:t>thus face an existential test</w:t>
      </w:r>
      <w:r w:rsidR="00DC0053">
        <w:t>. W</w:t>
      </w:r>
      <w:r w:rsidR="007627BE">
        <w:t xml:space="preserve">hilst topicality always hazards presumption, </w:t>
      </w:r>
      <w:r w:rsidR="00D13B52">
        <w:t xml:space="preserve">it would be facile to ignore </w:t>
      </w:r>
      <w:r w:rsidR="009F66F9">
        <w:t xml:space="preserve">this context, even if much </w:t>
      </w:r>
      <w:r w:rsidR="00DC0053">
        <w:t xml:space="preserve">necessarily </w:t>
      </w:r>
      <w:r w:rsidR="009F66F9">
        <w:t xml:space="preserve">remains unknown. </w:t>
      </w:r>
    </w:p>
    <w:p w14:paraId="3A5D3844" w14:textId="0FEAF7AE" w:rsidR="00865732" w:rsidRPr="00865732" w:rsidRDefault="00865732" w:rsidP="003E5C22">
      <w:pPr>
        <w:spacing w:line="480" w:lineRule="auto"/>
        <w:rPr>
          <w:u w:val="single"/>
        </w:rPr>
      </w:pPr>
      <w:r w:rsidRPr="00865732">
        <w:rPr>
          <w:u w:val="single"/>
        </w:rPr>
        <w:lastRenderedPageBreak/>
        <w:t>Introduction</w:t>
      </w:r>
    </w:p>
    <w:p w14:paraId="2BAF89C2" w14:textId="1024CA20" w:rsidR="006122CE" w:rsidRDefault="009051A7" w:rsidP="003E5C22">
      <w:pPr>
        <w:pStyle w:val="ListParagraph"/>
        <w:numPr>
          <w:ilvl w:val="0"/>
          <w:numId w:val="1"/>
        </w:numPr>
        <w:spacing w:line="480" w:lineRule="auto"/>
      </w:pPr>
      <w:r>
        <w:t xml:space="preserve">The </w:t>
      </w:r>
      <w:r w:rsidR="00715704">
        <w:t xml:space="preserve">IHR </w:t>
      </w:r>
      <w:r w:rsidR="00906C3E">
        <w:t>ar</w:t>
      </w:r>
      <w:r w:rsidR="00565CD9">
        <w:t xml:space="preserve">e the only </w:t>
      </w:r>
      <w:r w:rsidR="001058B4">
        <w:t xml:space="preserve">area of </w:t>
      </w:r>
      <w:r w:rsidR="00565CD9">
        <w:t>binding international law</w:t>
      </w:r>
      <w:r w:rsidR="001058B4">
        <w:t xml:space="preserve"> to address the threat of global infectious disease. </w:t>
      </w:r>
      <w:r w:rsidR="00AB57EF">
        <w:t xml:space="preserve">They </w:t>
      </w:r>
      <w:r w:rsidR="00810F32">
        <w:t>were developed from the International Sanitary Conventions</w:t>
      </w:r>
      <w:r w:rsidR="001A472D">
        <w:t xml:space="preserve"> (ISCs)</w:t>
      </w:r>
      <w:r w:rsidR="00810F32">
        <w:t xml:space="preserve"> of the nineteenth century, </w:t>
      </w:r>
      <w:r w:rsidR="005C0DBB">
        <w:t>which were adopted by WHO in 1951</w:t>
      </w:r>
      <w:r w:rsidR="007562D9">
        <w:t xml:space="preserve">, and underwent only minor amendment until 2005. </w:t>
      </w:r>
      <w:r w:rsidR="001A472D">
        <w:t>Prior to that, the ISCs and the</w:t>
      </w:r>
      <w:r w:rsidR="00F65E16">
        <w:t xml:space="preserve"> pre-2005</w:t>
      </w:r>
      <w:r w:rsidR="007E477B">
        <w:t xml:space="preserve"> IHR dealt</w:t>
      </w:r>
      <w:r w:rsidR="003A12AC">
        <w:t xml:space="preserve"> only</w:t>
      </w:r>
      <w:r w:rsidR="007E477B">
        <w:t xml:space="preserve"> with a short list of</w:t>
      </w:r>
      <w:r w:rsidR="002130D1">
        <w:t xml:space="preserve"> </w:t>
      </w:r>
      <w:r w:rsidR="007E477B">
        <w:t>named diseases</w:t>
      </w:r>
      <w:r w:rsidR="00064013">
        <w:t xml:space="preserve"> (</w:t>
      </w:r>
      <w:r w:rsidR="007E477B">
        <w:t>cholera, yellow fever, and</w:t>
      </w:r>
      <w:r w:rsidR="002130D1">
        <w:t xml:space="preserve"> other sufficiently threatening conditions</w:t>
      </w:r>
      <w:r w:rsidR="00064013">
        <w:t xml:space="preserve">); </w:t>
      </w:r>
      <w:r w:rsidR="008A4BC7">
        <w:t>prohibited</w:t>
      </w:r>
      <w:r w:rsidR="00322864">
        <w:t xml:space="preserve"> States Parties from health measures beyond those specifically permitted</w:t>
      </w:r>
      <w:r w:rsidR="0040041E">
        <w:t xml:space="preserve">; </w:t>
      </w:r>
      <w:r w:rsidR="00E660C9">
        <w:t xml:space="preserve">and </w:t>
      </w:r>
      <w:r w:rsidR="003D021B">
        <w:t xml:space="preserve">as regards information, </w:t>
      </w:r>
      <w:r w:rsidR="00681149">
        <w:t xml:space="preserve">placed the World Health Organisation (WHO) in </w:t>
      </w:r>
      <w:r w:rsidR="003D021B">
        <w:t xml:space="preserve">complete reliance on official notifications </w:t>
      </w:r>
      <w:r w:rsidR="00012944">
        <w:t xml:space="preserve">from affected </w:t>
      </w:r>
      <w:r w:rsidR="00613C80">
        <w:t>s</w:t>
      </w:r>
      <w:r w:rsidR="00012944">
        <w:t xml:space="preserve">tates </w:t>
      </w:r>
      <w:r w:rsidR="00613C80">
        <w:t>p</w:t>
      </w:r>
      <w:r w:rsidR="00012944">
        <w:t>arties to the detriment of all other sources.</w:t>
      </w:r>
      <w:r w:rsidR="00005DFE">
        <w:t xml:space="preserve"> Unsurprisingly, compliance was poor.</w:t>
      </w:r>
      <w:r w:rsidR="0003708B">
        <w:t xml:space="preserve"> </w:t>
      </w:r>
      <w:r w:rsidR="00B12388">
        <w:t>Any c</w:t>
      </w:r>
      <w:r w:rsidR="00BF2B82">
        <w:t>riticism of the IHR</w:t>
      </w:r>
      <w:r w:rsidR="005F0F0A">
        <w:t xml:space="preserve"> must</w:t>
      </w:r>
      <w:r w:rsidR="00BF2B82">
        <w:t xml:space="preserve"> </w:t>
      </w:r>
      <w:r w:rsidR="00DA39F7">
        <w:t>acknowledge</w:t>
      </w:r>
      <w:r w:rsidR="005F0F0A">
        <w:t xml:space="preserve"> </w:t>
      </w:r>
      <w:r w:rsidR="00527B22">
        <w:t xml:space="preserve">that </w:t>
      </w:r>
      <w:r w:rsidR="005F0F0A">
        <w:t>the</w:t>
      </w:r>
      <w:r w:rsidR="00F65E16">
        <w:t xml:space="preserve">y </w:t>
      </w:r>
      <w:r w:rsidR="005F0F0A">
        <w:t xml:space="preserve">occupy a body of law which has existed for </w:t>
      </w:r>
      <w:r w:rsidR="001F4E93">
        <w:t>128 years</w:t>
      </w:r>
      <w:r w:rsidR="00B12388">
        <w:rPr>
          <w:rStyle w:val="FootnoteReference"/>
        </w:rPr>
        <w:footnoteReference w:id="3"/>
      </w:r>
      <w:r w:rsidR="00527B22">
        <w:t xml:space="preserve">, that </w:t>
      </w:r>
      <w:r w:rsidR="00D916CD">
        <w:t>the</w:t>
      </w:r>
      <w:r w:rsidR="00F65E16">
        <w:t>y constitute a</w:t>
      </w:r>
      <w:r w:rsidR="00527B22">
        <w:t xml:space="preserve"> definite improvement </w:t>
      </w:r>
      <w:r w:rsidR="00186779">
        <w:t>on</w:t>
      </w:r>
      <w:r w:rsidR="00416B03">
        <w:t xml:space="preserve"> that law</w:t>
      </w:r>
      <w:r w:rsidR="00186779">
        <w:t xml:space="preserve">, and that the reform </w:t>
      </w:r>
      <w:r w:rsidR="00416B03">
        <w:t xml:space="preserve">required </w:t>
      </w:r>
      <w:r w:rsidR="00973D81">
        <w:t>for</w:t>
      </w:r>
      <w:r w:rsidR="00416B03">
        <w:t xml:space="preserve"> that </w:t>
      </w:r>
      <w:r w:rsidR="00973D81">
        <w:t>i</w:t>
      </w:r>
      <w:r w:rsidR="00416B03">
        <w:t xml:space="preserve">mprovement </w:t>
      </w:r>
      <w:r w:rsidR="00186779">
        <w:t>took 10 years to achieve.</w:t>
      </w:r>
      <w:r w:rsidR="00AA7A03">
        <w:rPr>
          <w:rStyle w:val="FootnoteReference"/>
        </w:rPr>
        <w:footnoteReference w:id="4"/>
      </w:r>
      <w:r w:rsidR="00186779">
        <w:t xml:space="preserve"> </w:t>
      </w:r>
    </w:p>
    <w:p w14:paraId="4DFA261B" w14:textId="77777777" w:rsidR="006122CE" w:rsidRDefault="006122CE" w:rsidP="003E5C22">
      <w:pPr>
        <w:pStyle w:val="ListParagraph"/>
        <w:spacing w:line="480" w:lineRule="auto"/>
      </w:pPr>
    </w:p>
    <w:p w14:paraId="442C7C97" w14:textId="688DA491" w:rsidR="00865732" w:rsidRDefault="00D87F58" w:rsidP="003E5C22">
      <w:pPr>
        <w:pStyle w:val="ListParagraph"/>
        <w:numPr>
          <w:ilvl w:val="0"/>
          <w:numId w:val="1"/>
        </w:numPr>
        <w:spacing w:line="480" w:lineRule="auto"/>
      </w:pPr>
      <w:r>
        <w:t xml:space="preserve">Emergent diseases such as </w:t>
      </w:r>
      <w:r w:rsidR="00BC1881">
        <w:t xml:space="preserve">HIV/AIDS, and </w:t>
      </w:r>
      <w:r w:rsidR="00583C93">
        <w:t>later</w:t>
      </w:r>
      <w:r w:rsidR="00BC1881">
        <w:t xml:space="preserve"> SARS, demonstrated the inadequacy o</w:t>
      </w:r>
      <w:r w:rsidR="00583C93">
        <w:t>f th</w:t>
      </w:r>
      <w:r w:rsidR="00883B4C">
        <w:t xml:space="preserve">e old approach. The </w:t>
      </w:r>
      <w:r w:rsidR="002E477F">
        <w:t>“</w:t>
      </w:r>
      <w:r w:rsidR="00883B4C">
        <w:t>set menu</w:t>
      </w:r>
      <w:r w:rsidR="002E477F">
        <w:t>”</w:t>
      </w:r>
      <w:r w:rsidR="00883B4C">
        <w:t xml:space="preserve"> </w:t>
      </w:r>
      <w:r>
        <w:t xml:space="preserve">was replaced by the </w:t>
      </w:r>
      <w:r w:rsidR="008B5C4C">
        <w:t>concept of a Public Health Emergency of International Concern</w:t>
      </w:r>
      <w:r w:rsidR="00FE050D">
        <w:t xml:space="preserve"> (PHEIC)</w:t>
      </w:r>
      <w:r w:rsidR="008B5C4C">
        <w:t xml:space="preserve">, </w:t>
      </w:r>
      <w:r w:rsidR="00F32664">
        <w:t xml:space="preserve">intended to catch all </w:t>
      </w:r>
      <w:r w:rsidR="00A83904">
        <w:t xml:space="preserve">infectious diseases. </w:t>
      </w:r>
      <w:r w:rsidR="0050421C">
        <w:t xml:space="preserve">Correspondingly, the WHO was placed under a pro-active duty to </w:t>
      </w:r>
      <w:proofErr w:type="spellStart"/>
      <w:r w:rsidR="0050421C">
        <w:t>surveil</w:t>
      </w:r>
      <w:proofErr w:type="spellEnd"/>
      <w:r w:rsidR="0050421C">
        <w:t xml:space="preserve">, </w:t>
      </w:r>
      <w:r w:rsidR="00E65ECA">
        <w:t xml:space="preserve">and freed to </w:t>
      </w:r>
      <w:r w:rsidR="00B4315D">
        <w:t>accept</w:t>
      </w:r>
      <w:r w:rsidR="007C10D4">
        <w:t xml:space="preserve"> non-governmental </w:t>
      </w:r>
      <w:r w:rsidR="0058744D">
        <w:t>information</w:t>
      </w:r>
      <w:r w:rsidR="00AE6518">
        <w:t xml:space="preserve">. </w:t>
      </w:r>
      <w:r w:rsidR="00705514">
        <w:t>The Emergency Committee, a</w:t>
      </w:r>
      <w:r w:rsidR="00AE6518">
        <w:t xml:space="preserve"> panel of experts widely drawn from the World Health Assembly (WHA),</w:t>
      </w:r>
      <w:r w:rsidR="00705514">
        <w:t xml:space="preserve"> </w:t>
      </w:r>
      <w:r w:rsidR="00AA430F">
        <w:t xml:space="preserve">would assist in determining a PHEIC and in issuing </w:t>
      </w:r>
      <w:r w:rsidR="00613C80">
        <w:t>to</w:t>
      </w:r>
      <w:r w:rsidR="006923A9">
        <w:t xml:space="preserve"> states parties</w:t>
      </w:r>
      <w:r w:rsidR="00613C80">
        <w:t xml:space="preserve"> </w:t>
      </w:r>
      <w:r w:rsidR="00AA430F">
        <w:t>the Temporary Recommendations</w:t>
      </w:r>
      <w:r w:rsidR="008F0D5C">
        <w:t xml:space="preserve"> </w:t>
      </w:r>
      <w:r w:rsidR="006923A9">
        <w:t>address</w:t>
      </w:r>
      <w:r w:rsidR="00B4315D">
        <w:t>ing</w:t>
      </w:r>
      <w:r w:rsidR="006923A9">
        <w:t xml:space="preserve"> i</w:t>
      </w:r>
      <w:r w:rsidR="00EC40D8">
        <w:t xml:space="preserve">t, although qualified deviation from these recommendations was allowed. </w:t>
      </w:r>
      <w:r w:rsidR="004574FF">
        <w:t>T</w:t>
      </w:r>
      <w:r w:rsidR="00C455DC">
        <w:t xml:space="preserve">hese </w:t>
      </w:r>
      <w:r w:rsidR="00087E07">
        <w:t>improvements</w:t>
      </w:r>
      <w:r w:rsidR="00B33065">
        <w:t xml:space="preserve"> notwithstanding</w:t>
      </w:r>
      <w:r w:rsidR="00087E07">
        <w:t xml:space="preserve">, </w:t>
      </w:r>
      <w:r w:rsidR="00745484">
        <w:t xml:space="preserve">COVID-19 prompts the closest scrutiny of the IHR and their application. </w:t>
      </w:r>
    </w:p>
    <w:p w14:paraId="5ED43433" w14:textId="77777777" w:rsidR="00B33065" w:rsidRDefault="00B33065" w:rsidP="003E5C22">
      <w:pPr>
        <w:pStyle w:val="ListParagraph"/>
        <w:spacing w:line="480" w:lineRule="auto"/>
      </w:pPr>
    </w:p>
    <w:p w14:paraId="29B0AE0D" w14:textId="6CF680F8" w:rsidR="001C180E" w:rsidRDefault="00AA2F29" w:rsidP="003E5C22">
      <w:pPr>
        <w:pStyle w:val="ListParagraph"/>
        <w:numPr>
          <w:ilvl w:val="0"/>
          <w:numId w:val="1"/>
        </w:numPr>
        <w:spacing w:line="480" w:lineRule="auto"/>
      </w:pPr>
      <w:r>
        <w:t>This essay</w:t>
      </w:r>
      <w:r w:rsidR="0077659C">
        <w:t xml:space="preserve"> dismisses complaints as to enforcement but</w:t>
      </w:r>
      <w:r>
        <w:t xml:space="preserve"> considers th</w:t>
      </w:r>
      <w:r w:rsidR="00D5397C">
        <w:t>e</w:t>
      </w:r>
      <w:r w:rsidR="00673E7B">
        <w:t xml:space="preserve"> IHR </w:t>
      </w:r>
      <w:r w:rsidR="00D52E0C">
        <w:t xml:space="preserve">open </w:t>
      </w:r>
      <w:r w:rsidR="00673E7B">
        <w:t>to criticism in two principal areas</w:t>
      </w:r>
      <w:r w:rsidR="00EA2E40">
        <w:t xml:space="preserve">, both </w:t>
      </w:r>
      <w:r w:rsidR="00A725DD">
        <w:t xml:space="preserve">specific to </w:t>
      </w:r>
      <w:r w:rsidR="009F35CA">
        <w:t xml:space="preserve">the </w:t>
      </w:r>
      <w:r w:rsidR="00C51D2F">
        <w:t xml:space="preserve">2005 </w:t>
      </w:r>
      <w:r w:rsidR="009F35CA">
        <w:t>refor</w:t>
      </w:r>
      <w:r w:rsidR="00C51D2F">
        <w:t>ms</w:t>
      </w:r>
      <w:r w:rsidR="00673E7B">
        <w:t>. The first concern</w:t>
      </w:r>
      <w:r w:rsidR="00F90BF5">
        <w:t>s</w:t>
      </w:r>
      <w:r w:rsidR="00673E7B">
        <w:t xml:space="preserve"> the</w:t>
      </w:r>
      <w:r w:rsidR="00F90BF5">
        <w:t xml:space="preserve"> informational provisions, relating to surveillance, notification, information-sharing, and verification, up to the determination of a Public Health Emergency of International Concern (PHEIC).</w:t>
      </w:r>
      <w:r w:rsidR="00B6718F">
        <w:t xml:space="preserve"> I demonstrate</w:t>
      </w:r>
      <w:r w:rsidR="0054450F">
        <w:t xml:space="preserve"> that these mechanisms </w:t>
      </w:r>
      <w:r w:rsidR="00C37967">
        <w:t>have been</w:t>
      </w:r>
      <w:r w:rsidR="0054450F">
        <w:t xml:space="preserve"> inevitably </w:t>
      </w:r>
      <w:r w:rsidR="00C37967">
        <w:t>distorted by</w:t>
      </w:r>
      <w:r w:rsidR="0054450F">
        <w:t xml:space="preserve"> political pressure but remain fundamentally serviceable. </w:t>
      </w:r>
      <w:r w:rsidR="00F90BF5" w:rsidRPr="00F90BF5">
        <w:t>The</w:t>
      </w:r>
      <w:r w:rsidR="00F90BF5">
        <w:t xml:space="preserve"> second </w:t>
      </w:r>
      <w:r w:rsidR="00296EB2">
        <w:t>are</w:t>
      </w:r>
      <w:r w:rsidR="00D477FF">
        <w:t>a</w:t>
      </w:r>
      <w:r w:rsidR="00296EB2">
        <w:t xml:space="preserve"> </w:t>
      </w:r>
      <w:r w:rsidR="00F90BF5">
        <w:t>comprise</w:t>
      </w:r>
      <w:r w:rsidR="00D377BB">
        <w:t>s</w:t>
      </w:r>
      <w:r w:rsidR="00F90BF5">
        <w:t xml:space="preserve"> the</w:t>
      </w:r>
      <w:r w:rsidR="00F90BF5" w:rsidRPr="00F90BF5">
        <w:t xml:space="preserve"> recommendatory provisions, of particular importance after a PHEIC has been declared, specifically the Temporary Recommendations which may be issued by the WHO Director General, and the leeway enjoyed by </w:t>
      </w:r>
      <w:r w:rsidR="001F29F6">
        <w:t>s</w:t>
      </w:r>
      <w:r w:rsidR="00F90BF5" w:rsidRPr="00F90BF5">
        <w:t xml:space="preserve">tates </w:t>
      </w:r>
      <w:r w:rsidR="001F29F6">
        <w:t>p</w:t>
      </w:r>
      <w:r w:rsidR="00F90BF5" w:rsidRPr="00F90BF5">
        <w:t>arties to deviate from them.</w:t>
      </w:r>
      <w:r w:rsidR="00D52E0C">
        <w:t xml:space="preserve"> </w:t>
      </w:r>
      <w:r w:rsidR="002C65E9">
        <w:t xml:space="preserve">I outline </w:t>
      </w:r>
      <w:r w:rsidR="002D3B33">
        <w:t xml:space="preserve">how the </w:t>
      </w:r>
      <w:r w:rsidR="00AB1711">
        <w:t xml:space="preserve">perceived </w:t>
      </w:r>
      <w:r w:rsidR="002D3B33">
        <w:t>duty</w:t>
      </w:r>
      <w:r w:rsidR="00722865">
        <w:t xml:space="preserve"> to give rolling and </w:t>
      </w:r>
      <w:r w:rsidR="003973B7">
        <w:t>disease-specific advice has cost the WHO</w:t>
      </w:r>
      <w:r w:rsidR="002D3B33">
        <w:t xml:space="preserve"> legitimacy and </w:t>
      </w:r>
      <w:r w:rsidR="00C003B5">
        <w:t>caused confusion</w:t>
      </w:r>
      <w:r w:rsidR="0055414A">
        <w:t>.</w:t>
      </w:r>
      <w:r w:rsidR="00C003B5">
        <w:t xml:space="preserve"> </w:t>
      </w:r>
      <w:r w:rsidR="009B4D13">
        <w:t>I conclude tha</w:t>
      </w:r>
      <w:r w:rsidR="00D10986">
        <w:t>t</w:t>
      </w:r>
      <w:r w:rsidR="001C180E">
        <w:t xml:space="preserve"> whilst their stated purpose may rest on a false opposition, </w:t>
      </w:r>
      <w:r w:rsidR="00D10986">
        <w:t xml:space="preserve">the IHR remain the best-suited conceivable international legal instrument </w:t>
      </w:r>
      <w:r w:rsidR="001C180E">
        <w:t xml:space="preserve">to address the spread of infectious disease. </w:t>
      </w:r>
    </w:p>
    <w:p w14:paraId="4ECB4C1A" w14:textId="77777777" w:rsidR="006818F4" w:rsidRDefault="006818F4" w:rsidP="003E5C22">
      <w:pPr>
        <w:pStyle w:val="ListParagraph"/>
        <w:spacing w:line="480" w:lineRule="auto"/>
      </w:pPr>
    </w:p>
    <w:p w14:paraId="14C7C488" w14:textId="58565B16" w:rsidR="006818F4" w:rsidRPr="00B9068A" w:rsidRDefault="006818F4" w:rsidP="003E5C22">
      <w:pPr>
        <w:spacing w:line="480" w:lineRule="auto"/>
        <w:rPr>
          <w:u w:val="single"/>
        </w:rPr>
      </w:pPr>
      <w:r w:rsidRPr="00B9068A">
        <w:rPr>
          <w:u w:val="single"/>
        </w:rPr>
        <w:t>Enforcement and compliance</w:t>
      </w:r>
    </w:p>
    <w:p w14:paraId="13DED7BB" w14:textId="77777777" w:rsidR="006818F4" w:rsidRDefault="006818F4" w:rsidP="003E5C22">
      <w:pPr>
        <w:pStyle w:val="ListParagraph"/>
        <w:spacing w:line="480" w:lineRule="auto"/>
      </w:pPr>
    </w:p>
    <w:p w14:paraId="0E55FD30" w14:textId="0C4AD107" w:rsidR="006818F4" w:rsidRDefault="00B12110" w:rsidP="003E5C22">
      <w:pPr>
        <w:pStyle w:val="ListParagraph"/>
        <w:numPr>
          <w:ilvl w:val="0"/>
          <w:numId w:val="1"/>
        </w:numPr>
        <w:spacing w:line="480" w:lineRule="auto"/>
      </w:pPr>
      <w:r>
        <w:t xml:space="preserve">It is in the spirit </w:t>
      </w:r>
      <w:r w:rsidR="00462C68">
        <w:t>of the WHO</w:t>
      </w:r>
      <w:r w:rsidR="006754ED">
        <w:t>, t</w:t>
      </w:r>
      <w:r w:rsidR="00462C68">
        <w:t>he IHR</w:t>
      </w:r>
      <w:r w:rsidR="006754ED">
        <w:t xml:space="preserve">, </w:t>
      </w:r>
      <w:r w:rsidR="000812BB">
        <w:t>and t</w:t>
      </w:r>
      <w:r w:rsidR="007817E9">
        <w:t xml:space="preserve">he Hippocratic </w:t>
      </w:r>
      <w:r w:rsidR="00BD04B1">
        <w:t>Oath,</w:t>
      </w:r>
      <w:r w:rsidR="00462C68">
        <w:t xml:space="preserve"> that</w:t>
      </w:r>
      <w:r w:rsidR="008A625A">
        <w:t xml:space="preserve"> the fight against disease is </w:t>
      </w:r>
      <w:r w:rsidR="006754ED">
        <w:t xml:space="preserve">co-operative and based on good faith. </w:t>
      </w:r>
      <w:r w:rsidR="00A5104E">
        <w:t xml:space="preserve">That the IHR do not allow for the penalisation </w:t>
      </w:r>
      <w:r w:rsidR="00BD04B1">
        <w:t>of defaulting state</w:t>
      </w:r>
      <w:r w:rsidR="00DC1AD4">
        <w:t>s</w:t>
      </w:r>
      <w:r w:rsidR="00BD04B1">
        <w:t xml:space="preserve"> rests on the same reasoning whereby </w:t>
      </w:r>
      <w:r w:rsidR="00620685">
        <w:t>the NHS</w:t>
      </w:r>
      <w:r w:rsidR="00BD04B1">
        <w:t xml:space="preserve"> do</w:t>
      </w:r>
      <w:r w:rsidR="00620685">
        <w:t>es</w:t>
      </w:r>
      <w:r w:rsidR="00BD04B1">
        <w:t xml:space="preserve"> not seek to prosecute </w:t>
      </w:r>
      <w:r w:rsidR="003D581C">
        <w:t xml:space="preserve">overdose </w:t>
      </w:r>
      <w:r w:rsidR="00620685">
        <w:t>patients</w:t>
      </w:r>
      <w:r w:rsidR="003D581C">
        <w:t xml:space="preserve"> for </w:t>
      </w:r>
      <w:r w:rsidR="004B38E4">
        <w:t xml:space="preserve">drug offences. This is not to say </w:t>
      </w:r>
      <w:r w:rsidR="00E46E4E">
        <w:t>that such penalisation or prosecution is undesirable</w:t>
      </w:r>
      <w:r w:rsidR="00CB648D">
        <w:t xml:space="preserve">, but it should not be done within the IHR. </w:t>
      </w:r>
      <w:r w:rsidR="002F1F12">
        <w:t>Those who favour an emboldened</w:t>
      </w:r>
      <w:r w:rsidR="00DC1AD4">
        <w:t xml:space="preserve"> WHO</w:t>
      </w:r>
      <w:r w:rsidR="00882BEE">
        <w:t xml:space="preserve">, ready to make findings of fact in the face of a hostile </w:t>
      </w:r>
      <w:r w:rsidR="007F0E3F">
        <w:t>member state</w:t>
      </w:r>
      <w:r w:rsidR="00882BEE">
        <w:t>,</w:t>
      </w:r>
      <w:r w:rsidR="00DC1AD4">
        <w:t xml:space="preserve"> should recall the </w:t>
      </w:r>
      <w:r w:rsidR="00F21D73">
        <w:t xml:space="preserve">profound </w:t>
      </w:r>
      <w:r w:rsidR="00DC1AD4">
        <w:t>difficulties</w:t>
      </w:r>
      <w:r w:rsidR="00F21D73">
        <w:t xml:space="preserve"> experienced by sup</w:t>
      </w:r>
      <w:r w:rsidR="00315B90">
        <w:t xml:space="preserve">posedly independent UN missions such as UNSCOM and UNMOVIC. </w:t>
      </w:r>
      <w:r w:rsidR="00F3210B">
        <w:t>O</w:t>
      </w:r>
      <w:r w:rsidR="000137F8">
        <w:t>pen co-operation</w:t>
      </w:r>
      <w:r w:rsidR="00F3210B">
        <w:t xml:space="preserve"> and</w:t>
      </w:r>
      <w:r w:rsidR="000137F8">
        <w:t xml:space="preserve"> </w:t>
      </w:r>
      <w:r w:rsidR="00A92534">
        <w:t xml:space="preserve">voluntary notification </w:t>
      </w:r>
      <w:r w:rsidR="00F3210B">
        <w:t xml:space="preserve">are essential components of </w:t>
      </w:r>
      <w:r w:rsidR="00F3210B">
        <w:lastRenderedPageBreak/>
        <w:t>the IHR</w:t>
      </w:r>
      <w:r w:rsidR="00A47949">
        <w:t>. The flow of information</w:t>
      </w:r>
      <w:r w:rsidR="00305AD9">
        <w:t xml:space="preserve"> will </w:t>
      </w:r>
      <w:r w:rsidR="00A47949">
        <w:t xml:space="preserve">only </w:t>
      </w:r>
      <w:r w:rsidR="00305AD9">
        <w:t xml:space="preserve">be </w:t>
      </w:r>
      <w:r w:rsidR="00DE2952">
        <w:t>hindered</w:t>
      </w:r>
      <w:r w:rsidR="00305AD9">
        <w:t xml:space="preserve"> by </w:t>
      </w:r>
      <w:r w:rsidR="00090D21">
        <w:t>the threat of enforcement proceedings</w:t>
      </w:r>
      <w:r w:rsidR="00FE630C">
        <w:t xml:space="preserve"> and the adversarial dynamic they would instil. </w:t>
      </w:r>
      <w:r w:rsidR="00A47949">
        <w:t>Further,</w:t>
      </w:r>
      <w:r w:rsidR="00E50763">
        <w:t xml:space="preserve"> political interference in any such enforcement action may render it disproportionate</w:t>
      </w:r>
      <w:r w:rsidR="007074F8">
        <w:t xml:space="preserve"> and thus doubly harmful</w:t>
      </w:r>
      <w:r w:rsidR="00E50763">
        <w:t xml:space="preserve">. </w:t>
      </w:r>
      <w:r w:rsidR="007074F8">
        <w:t>For example, c</w:t>
      </w:r>
      <w:r w:rsidR="00E50763">
        <w:t>alls to make China “pay” for COVID-</w:t>
      </w:r>
      <w:r w:rsidR="00AC64EA">
        <w:t xml:space="preserve">19 </w:t>
      </w:r>
      <w:r w:rsidR="006F28DB">
        <w:t>threaten a peaceful country with reparations potentially greater than th</w:t>
      </w:r>
      <w:r w:rsidR="0009003C">
        <w:t>ose of the</w:t>
      </w:r>
      <w:r w:rsidR="006F28DB">
        <w:t xml:space="preserve"> Treaty of Versailles. </w:t>
      </w:r>
      <w:r w:rsidR="00824DFB">
        <w:t xml:space="preserve">This can </w:t>
      </w:r>
      <w:r w:rsidR="007719AC">
        <w:t xml:space="preserve">hardly be said to inspire co-operation from WHO member states. </w:t>
      </w:r>
      <w:r w:rsidR="00A24B83">
        <w:t xml:space="preserve">It is </w:t>
      </w:r>
      <w:r w:rsidR="009A0EF7">
        <w:t xml:space="preserve">therefore incorrect to criticise the IHR for its lack of enforcement provisions. </w:t>
      </w:r>
      <w:r w:rsidR="00A95392">
        <w:t xml:space="preserve"> </w:t>
      </w:r>
    </w:p>
    <w:p w14:paraId="318C3EDC" w14:textId="77777777" w:rsidR="00C242CC" w:rsidRDefault="00C242CC" w:rsidP="003E5C22">
      <w:pPr>
        <w:pStyle w:val="ListParagraph"/>
        <w:spacing w:line="480" w:lineRule="auto"/>
      </w:pPr>
    </w:p>
    <w:p w14:paraId="77CCD38F" w14:textId="08D94443" w:rsidR="007719AC" w:rsidRPr="00D14505" w:rsidRDefault="00D14505" w:rsidP="003E5C22">
      <w:pPr>
        <w:spacing w:line="480" w:lineRule="auto"/>
        <w:ind w:left="360"/>
        <w:rPr>
          <w:u w:val="single"/>
        </w:rPr>
      </w:pPr>
      <w:r w:rsidRPr="00D14505">
        <w:rPr>
          <w:u w:val="single"/>
        </w:rPr>
        <w:t>The informational provisions</w:t>
      </w:r>
    </w:p>
    <w:p w14:paraId="0AD647E9" w14:textId="7E8BA74C" w:rsidR="00AE507C" w:rsidRDefault="00AE507C" w:rsidP="003E5C22">
      <w:pPr>
        <w:pStyle w:val="ListParagraph"/>
        <w:spacing w:line="480" w:lineRule="auto"/>
      </w:pPr>
    </w:p>
    <w:p w14:paraId="2BE5E8E1" w14:textId="3AF1404F" w:rsidR="00AE507C" w:rsidRDefault="00C33251" w:rsidP="003E5C22">
      <w:pPr>
        <w:pStyle w:val="ListParagraph"/>
        <w:numPr>
          <w:ilvl w:val="0"/>
          <w:numId w:val="1"/>
        </w:numPr>
        <w:spacing w:line="480" w:lineRule="auto"/>
      </w:pPr>
      <w:r>
        <w:t xml:space="preserve">The importance of the IHR’s informational provisions </w:t>
      </w:r>
      <w:r w:rsidR="002328D7">
        <w:t xml:space="preserve">is related to the fact that the IHR </w:t>
      </w:r>
      <w:r w:rsidR="00F15F20">
        <w:t xml:space="preserve">must address new and emergent diseases, about which little can be known. </w:t>
      </w:r>
      <w:r w:rsidR="0050214B">
        <w:t>For this reason the IHR p</w:t>
      </w:r>
      <w:r w:rsidR="00B82DAE">
        <w:t>ut</w:t>
      </w:r>
      <w:r w:rsidR="0050214B">
        <w:t xml:space="preserve"> WHO under a duty of active surveillance</w:t>
      </w:r>
      <w:r w:rsidR="00700868">
        <w:t xml:space="preserve"> and allow it to receive information from non-governmental channels</w:t>
      </w:r>
      <w:r w:rsidR="0050214B">
        <w:t xml:space="preserve">, </w:t>
      </w:r>
      <w:r w:rsidR="00EC0CA0">
        <w:t xml:space="preserve">as not all its member states </w:t>
      </w:r>
      <w:r w:rsidR="00700868">
        <w:t xml:space="preserve">will be best-placed to </w:t>
      </w:r>
      <w:r w:rsidR="00D17FE9">
        <w:t>accurately evaluate</w:t>
      </w:r>
      <w:r w:rsidR="008431EF">
        <w:t xml:space="preserve"> the public health risks </w:t>
      </w:r>
      <w:r w:rsidR="00D17FE9">
        <w:t xml:space="preserve">developing in their jurisdictions. </w:t>
      </w:r>
      <w:r w:rsidR="005B5CEA">
        <w:t>Th</w:t>
      </w:r>
      <w:r w:rsidR="003A7E36">
        <w:t>e IHR thus p</w:t>
      </w:r>
      <w:r w:rsidR="00B82DAE">
        <w:t>laces</w:t>
      </w:r>
      <w:r w:rsidR="003A7E36">
        <w:t xml:space="preserve"> </w:t>
      </w:r>
      <w:r w:rsidR="00544E5E">
        <w:t xml:space="preserve">the </w:t>
      </w:r>
      <w:r w:rsidR="003A7E36">
        <w:t>WHO in the position where it can be accused of</w:t>
      </w:r>
      <w:r w:rsidR="00E65469">
        <w:t xml:space="preserve"> negligence</w:t>
      </w:r>
      <w:r w:rsidR="000700AB">
        <w:t xml:space="preserve">. </w:t>
      </w:r>
      <w:r w:rsidR="0050428E">
        <w:t xml:space="preserve">The </w:t>
      </w:r>
      <w:r w:rsidR="00C11C24">
        <w:t>U</w:t>
      </w:r>
      <w:r w:rsidR="00C71075">
        <w:t>nited States</w:t>
      </w:r>
      <w:r w:rsidR="00B435A9">
        <w:t>’</w:t>
      </w:r>
      <w:r w:rsidR="00C71075">
        <w:t xml:space="preserve"> President </w:t>
      </w:r>
      <w:r w:rsidR="0050428E">
        <w:t xml:space="preserve">did exactly that in his “explanatory letter” to the WHO Director General during the </w:t>
      </w:r>
      <w:r w:rsidR="00C11C24">
        <w:t>73</w:t>
      </w:r>
      <w:r w:rsidR="00C11C24" w:rsidRPr="00F07787">
        <w:rPr>
          <w:vertAlign w:val="superscript"/>
        </w:rPr>
        <w:t>rd</w:t>
      </w:r>
      <w:r w:rsidR="00C11C24">
        <w:t xml:space="preserve"> </w:t>
      </w:r>
      <w:r w:rsidR="00C71075">
        <w:t>World Health Assembly.</w:t>
      </w:r>
      <w:r w:rsidR="00AB63A0">
        <w:t xml:space="preserve"> </w:t>
      </w:r>
      <w:r w:rsidR="00677EDE">
        <w:t xml:space="preserve">It </w:t>
      </w:r>
      <w:r w:rsidR="00855F46">
        <w:t xml:space="preserve">is </w:t>
      </w:r>
      <w:r w:rsidR="00677EDE">
        <w:t xml:space="preserve">the nature of pathogens that </w:t>
      </w:r>
      <w:r w:rsidR="005A114A">
        <w:t>each of them</w:t>
      </w:r>
      <w:r w:rsidR="004816B6">
        <w:t xml:space="preserve"> </w:t>
      </w:r>
      <w:r w:rsidR="00677EDE">
        <w:t>could have been discovered sooner</w:t>
      </w:r>
      <w:r w:rsidR="00855F46">
        <w:t>, but the WHO cannot be a police force: that would run contrary to its purpose, and the resources are unavailable.</w:t>
      </w:r>
      <w:r w:rsidR="00E746B8">
        <w:t xml:space="preserve"> In any case, notification </w:t>
      </w:r>
      <w:r w:rsidR="00E44894">
        <w:t>by</w:t>
      </w:r>
      <w:r w:rsidR="00E746B8">
        <w:t xml:space="preserve"> states parties</w:t>
      </w:r>
      <w:r w:rsidR="00627CFB">
        <w:t xml:space="preserve"> (</w:t>
      </w:r>
      <w:r w:rsidR="002C0AF2">
        <w:t>or reports from states parties</w:t>
      </w:r>
      <w:r w:rsidR="00627CFB">
        <w:t xml:space="preserve"> whose territory is unaffected)</w:t>
      </w:r>
      <w:r w:rsidR="00E746B8">
        <w:t xml:space="preserve"> </w:t>
      </w:r>
      <w:r w:rsidR="00E44894">
        <w:t xml:space="preserve">will unavoidably trigger </w:t>
      </w:r>
      <w:r w:rsidR="00C76C94">
        <w:t>the IHR’s escalating provisions</w:t>
      </w:r>
      <w:r w:rsidR="007B44F1">
        <w:t xml:space="preserve">, regardless of any surveillance undertaken by the WHO. </w:t>
      </w:r>
      <w:r w:rsidR="00C76C94">
        <w:t xml:space="preserve"> </w:t>
      </w:r>
    </w:p>
    <w:p w14:paraId="5D99B847" w14:textId="77777777" w:rsidR="00530D5C" w:rsidRDefault="00530D5C" w:rsidP="003E5C22">
      <w:pPr>
        <w:pStyle w:val="ListParagraph"/>
        <w:spacing w:line="480" w:lineRule="auto"/>
      </w:pPr>
    </w:p>
    <w:p w14:paraId="64D427F4" w14:textId="222D7F66" w:rsidR="00530D5C" w:rsidRDefault="00C76C94" w:rsidP="003E5C22">
      <w:pPr>
        <w:pStyle w:val="ListParagraph"/>
        <w:numPr>
          <w:ilvl w:val="0"/>
          <w:numId w:val="1"/>
        </w:numPr>
        <w:spacing w:line="480" w:lineRule="auto"/>
      </w:pPr>
      <w:r>
        <w:t>T</w:t>
      </w:r>
      <w:r w:rsidR="00FD6AEA">
        <w:t>h</w:t>
      </w:r>
      <w:r w:rsidR="00F13C6B">
        <w:t xml:space="preserve">ose who wished the IHR placed a greater </w:t>
      </w:r>
      <w:r w:rsidR="00FD6AEA">
        <w:t>duty of active surveillance on the WHO</w:t>
      </w:r>
      <w:r w:rsidR="008864B5">
        <w:t xml:space="preserve"> </w:t>
      </w:r>
      <w:r w:rsidR="00F13C6B">
        <w:t>should reflect th</w:t>
      </w:r>
      <w:r w:rsidR="0025104B">
        <w:t>at th</w:t>
      </w:r>
      <w:r w:rsidR="00F13C6B">
        <w:t xml:space="preserve">e duty </w:t>
      </w:r>
      <w:r w:rsidR="008864B5">
        <w:t xml:space="preserve">is </w:t>
      </w:r>
      <w:r w:rsidR="00364DD1">
        <w:t xml:space="preserve">made easier to meet by modern technology. </w:t>
      </w:r>
      <w:r w:rsidR="000E58C4">
        <w:t>WHO</w:t>
      </w:r>
      <w:r w:rsidR="00865506">
        <w:t>’s Chin</w:t>
      </w:r>
      <w:r w:rsidR="00BF058F">
        <w:t>a</w:t>
      </w:r>
      <w:r w:rsidR="00865506">
        <w:t xml:space="preserve"> office</w:t>
      </w:r>
      <w:r w:rsidR="00F13C6B">
        <w:t xml:space="preserve"> first</w:t>
      </w:r>
      <w:r w:rsidR="000E58C4">
        <w:t xml:space="preserve"> </w:t>
      </w:r>
      <w:r w:rsidR="00FE00A5">
        <w:lastRenderedPageBreak/>
        <w:t xml:space="preserve">heard of viral pneumonia in Wuhan </w:t>
      </w:r>
      <w:r w:rsidR="00B34989">
        <w:t>through</w:t>
      </w:r>
      <w:r w:rsidR="002330E4">
        <w:t xml:space="preserve"> a </w:t>
      </w:r>
      <w:r w:rsidR="00B34989">
        <w:t>statement</w:t>
      </w:r>
      <w:r w:rsidR="00FE00A5">
        <w:t xml:space="preserve"> the</w:t>
      </w:r>
      <w:r w:rsidR="00865506">
        <w:t xml:space="preserve"> website of the Wuhan Municipal Health Commission</w:t>
      </w:r>
      <w:r w:rsidR="00B34989">
        <w:t xml:space="preserve"> made on 31 December 2019</w:t>
      </w:r>
      <w:r w:rsidR="00AC3152">
        <w:t xml:space="preserve"> (its open-source Epidemic </w:t>
      </w:r>
      <w:r w:rsidR="00770615">
        <w:t>Intelligence unit</w:t>
      </w:r>
      <w:r w:rsidR="002330E4">
        <w:t xml:space="preserve"> picked up </w:t>
      </w:r>
      <w:r w:rsidR="00B34989">
        <w:t xml:space="preserve">on </w:t>
      </w:r>
      <w:r w:rsidR="002330E4">
        <w:t>a</w:t>
      </w:r>
      <w:r w:rsidR="00B040EE">
        <w:t>n on-line</w:t>
      </w:r>
      <w:r w:rsidR="002330E4">
        <w:t xml:space="preserve"> media report </w:t>
      </w:r>
      <w:r w:rsidR="00DD574F">
        <w:t>that</w:t>
      </w:r>
      <w:r w:rsidR="002330E4">
        <w:t xml:space="preserve"> same day</w:t>
      </w:r>
      <w:r w:rsidR="00A82F02">
        <w:t>).</w:t>
      </w:r>
      <w:r w:rsidR="00B040EE">
        <w:rPr>
          <w:rStyle w:val="FootnoteReference"/>
        </w:rPr>
        <w:footnoteReference w:id="5"/>
      </w:r>
      <w:r w:rsidR="002A502A">
        <w:t xml:space="preserve"> Considering the first known hospitalisation occurred on 16 December 201</w:t>
      </w:r>
      <w:r w:rsidR="00A30ECA">
        <w:t>9</w:t>
      </w:r>
      <w:r w:rsidR="00850A0B">
        <w:rPr>
          <w:rStyle w:val="FootnoteReference"/>
        </w:rPr>
        <w:footnoteReference w:id="6"/>
      </w:r>
      <w:r w:rsidR="00A30ECA">
        <w:t>, this is reasonabl</w:t>
      </w:r>
      <w:r w:rsidR="00EE5612">
        <w:t>y timely</w:t>
      </w:r>
      <w:r w:rsidR="00A30ECA">
        <w:t xml:space="preserve">. </w:t>
      </w:r>
      <w:r w:rsidR="009F551E">
        <w:t xml:space="preserve">As regards the </w:t>
      </w:r>
      <w:r w:rsidR="00A1713D">
        <w:t xml:space="preserve">earlier </w:t>
      </w:r>
      <w:r w:rsidR="009F551E">
        <w:t>Ebola outbreaks in the Democratic Republic of Congo</w:t>
      </w:r>
      <w:r w:rsidR="000D0ED5">
        <w:t xml:space="preserve"> and in Guinea, there has been </w:t>
      </w:r>
      <w:r w:rsidR="00117D14">
        <w:t xml:space="preserve">scant criticism as regards </w:t>
      </w:r>
      <w:r w:rsidR="00A1713D">
        <w:t xml:space="preserve">WHO surveillance, even though WHO reports were much more delayed. </w:t>
      </w:r>
      <w:r w:rsidR="00196DA2">
        <w:t xml:space="preserve">The seriousness of COVID-19 aside, the IHR is </w:t>
      </w:r>
      <w:r w:rsidR="00CF1D49">
        <w:t xml:space="preserve">demonstrably </w:t>
      </w:r>
      <w:r w:rsidR="00196DA2">
        <w:t xml:space="preserve">functional </w:t>
      </w:r>
      <w:r w:rsidR="00EE5612">
        <w:t>as regards surveillance and non-state sources.</w:t>
      </w:r>
      <w:r w:rsidR="00196DA2">
        <w:t xml:space="preserve"> </w:t>
      </w:r>
    </w:p>
    <w:p w14:paraId="309C9E61" w14:textId="77777777" w:rsidR="00196DA2" w:rsidRDefault="00196DA2" w:rsidP="003E5C22">
      <w:pPr>
        <w:pStyle w:val="ListParagraph"/>
        <w:spacing w:line="480" w:lineRule="auto"/>
      </w:pPr>
    </w:p>
    <w:p w14:paraId="1494122E" w14:textId="3F18D18E" w:rsidR="00CF1D49" w:rsidRDefault="00CF1D49" w:rsidP="003E5C22">
      <w:pPr>
        <w:pStyle w:val="ListParagraph"/>
        <w:numPr>
          <w:ilvl w:val="0"/>
          <w:numId w:val="1"/>
        </w:numPr>
        <w:spacing w:line="480" w:lineRule="auto"/>
      </w:pPr>
      <w:r>
        <w:t xml:space="preserve">Criticism has also been made of </w:t>
      </w:r>
      <w:r w:rsidR="00F24968">
        <w:t>China</w:t>
      </w:r>
      <w:r w:rsidR="00DF1D9C">
        <w:t>’</w:t>
      </w:r>
      <w:r w:rsidR="00F24968">
        <w:t>s failure to adhere to the IHR’s</w:t>
      </w:r>
      <w:r w:rsidR="00DF1D9C">
        <w:t xml:space="preserve"> duty of</w:t>
      </w:r>
      <w:r w:rsidR="00F24968">
        <w:t xml:space="preserve"> notificatio</w:t>
      </w:r>
      <w:r w:rsidR="00DF1D9C">
        <w:t>n</w:t>
      </w:r>
      <w:r w:rsidR="00F24968">
        <w:t xml:space="preserve">, and again, </w:t>
      </w:r>
      <w:r w:rsidR="00B020A9">
        <w:t>its</w:t>
      </w:r>
      <w:r w:rsidR="00F24968">
        <w:t xml:space="preserve"> lack of enforcement </w:t>
      </w:r>
      <w:r w:rsidR="00DF1D9C">
        <w:t xml:space="preserve">provisions </w:t>
      </w:r>
      <w:r w:rsidR="00F24968">
        <w:t xml:space="preserve">in relation thereto. </w:t>
      </w:r>
      <w:r w:rsidR="008D05C6">
        <w:t>However, th</w:t>
      </w:r>
      <w:r w:rsidR="00841F0D">
        <w:t xml:space="preserve">e duty of surveillance </w:t>
      </w:r>
      <w:r w:rsidR="00280E40">
        <w:t>the IHR</w:t>
      </w:r>
      <w:r w:rsidR="00841F0D">
        <w:t xml:space="preserve"> imposes on the WHO, and the </w:t>
      </w:r>
      <w:r w:rsidR="007643C7">
        <w:t xml:space="preserve">freedom it gives the WHO to consider unofficial data, lessens the importance of </w:t>
      </w:r>
      <w:r w:rsidR="00280E40">
        <w:t xml:space="preserve">governmental </w:t>
      </w:r>
      <w:r w:rsidR="00D4405C">
        <w:t xml:space="preserve">notification. </w:t>
      </w:r>
      <w:r w:rsidR="00783229">
        <w:t xml:space="preserve">Indeed, </w:t>
      </w:r>
      <w:r w:rsidR="00EC0524">
        <w:t xml:space="preserve">a pro-active WHO can trigger notification </w:t>
      </w:r>
      <w:r w:rsidR="00F46273">
        <w:t xml:space="preserve">by </w:t>
      </w:r>
      <w:r w:rsidR="00B77B2D">
        <w:t>an</w:t>
      </w:r>
      <w:r w:rsidR="00F46273">
        <w:t xml:space="preserve"> affected</w:t>
      </w:r>
      <w:r w:rsidR="00B77B2D">
        <w:t xml:space="preserve"> but reluctant</w:t>
      </w:r>
      <w:r w:rsidR="00F46273">
        <w:t xml:space="preserve"> </w:t>
      </w:r>
      <w:r w:rsidR="00B77B2D">
        <w:t>member state</w:t>
      </w:r>
      <w:r w:rsidR="00F46273">
        <w:t xml:space="preserve">. </w:t>
      </w:r>
      <w:r w:rsidR="008C6ADB">
        <w:t>Article 6(1)</w:t>
      </w:r>
      <w:r w:rsidR="00B77B2D">
        <w:t xml:space="preserve"> of the IHR</w:t>
      </w:r>
      <w:r w:rsidR="008C6ADB">
        <w:t xml:space="preserve"> requires </w:t>
      </w:r>
      <w:r w:rsidR="00946999">
        <w:t xml:space="preserve">states parties to </w:t>
      </w:r>
      <w:r w:rsidR="00E527F5">
        <w:t xml:space="preserve">notify WHO of </w:t>
      </w:r>
      <w:r w:rsidR="007B2BAC">
        <w:t xml:space="preserve">events which may constitute a PHEIC within 24 hours of </w:t>
      </w:r>
      <w:r w:rsidR="00FE3B81">
        <w:t>that state’s</w:t>
      </w:r>
      <w:r w:rsidR="007B2BAC">
        <w:t xml:space="preserve"> IHR-prescribed assessment. </w:t>
      </w:r>
      <w:r w:rsidR="00D96CB2">
        <w:t>In China, t</w:t>
      </w:r>
      <w:r w:rsidR="00FE3B81">
        <w:t xml:space="preserve">his duty arose on </w:t>
      </w:r>
      <w:r w:rsidR="00D96CB2">
        <w:t>31 December</w:t>
      </w:r>
      <w:r w:rsidR="003F3DD1">
        <w:t xml:space="preserve"> 2020</w:t>
      </w:r>
      <w:r w:rsidR="00537AAB">
        <w:t xml:space="preserve"> at the latest</w:t>
      </w:r>
      <w:r w:rsidR="008B4983">
        <w:t xml:space="preserve">. </w:t>
      </w:r>
      <w:r w:rsidR="00D96CB2">
        <w:t>The next</w:t>
      </w:r>
      <w:r w:rsidR="003F3DD1">
        <w:t xml:space="preserve"> day W</w:t>
      </w:r>
      <w:r w:rsidR="008F424D">
        <w:t xml:space="preserve">HO made a request of China under the </w:t>
      </w:r>
      <w:r w:rsidR="00D00B8A">
        <w:t>article 10 verification provisions, which ga</w:t>
      </w:r>
      <w:r w:rsidR="00683968">
        <w:t>ve China a</w:t>
      </w:r>
      <w:r w:rsidR="00A2545A">
        <w:t xml:space="preserve"> further</w:t>
      </w:r>
      <w:r w:rsidR="00683968">
        <w:t xml:space="preserve"> 24 hours to respond. The request was repeated again </w:t>
      </w:r>
      <w:r w:rsidR="00A61373">
        <w:t>on 2 January 2020</w:t>
      </w:r>
      <w:r w:rsidR="00683968">
        <w:t>,</w:t>
      </w:r>
      <w:r w:rsidR="00C170DD">
        <w:t xml:space="preserve"> when </w:t>
      </w:r>
      <w:r w:rsidR="000973C4">
        <w:t>WHO shared the information it had</w:t>
      </w:r>
      <w:r w:rsidR="00A61373">
        <w:t xml:space="preserve"> already</w:t>
      </w:r>
      <w:r w:rsidR="000973C4">
        <w:t xml:space="preserve"> received with </w:t>
      </w:r>
      <w:r w:rsidR="00091967">
        <w:t>m</w:t>
      </w:r>
      <w:r w:rsidR="00091967" w:rsidRPr="00091967">
        <w:t>ajor public health agencies, laboratories, sister UN agencies, international organizations and NGOs</w:t>
      </w:r>
      <w:r w:rsidR="00091967">
        <w:t xml:space="preserve">, as it was now entitled to do under article </w:t>
      </w:r>
      <w:r w:rsidR="00823EBD">
        <w:t xml:space="preserve">11. China </w:t>
      </w:r>
      <w:r w:rsidR="002F5B95">
        <w:t xml:space="preserve">finally </w:t>
      </w:r>
      <w:r w:rsidR="00823EBD">
        <w:t xml:space="preserve">began reporting to WHO </w:t>
      </w:r>
      <w:r w:rsidR="001E44A7">
        <w:t>the day after</w:t>
      </w:r>
      <w:r w:rsidR="00823EBD">
        <w:t xml:space="preserve">. </w:t>
      </w:r>
      <w:r w:rsidR="00490966">
        <w:t>China</w:t>
      </w:r>
      <w:r w:rsidR="00753F51">
        <w:t xml:space="preserve">’s breach </w:t>
      </w:r>
      <w:r w:rsidR="00490966">
        <w:t>is</w:t>
      </w:r>
      <w:r w:rsidR="00DE3F08">
        <w:t xml:space="preserve"> thus</w:t>
      </w:r>
      <w:r w:rsidR="00490966">
        <w:t xml:space="preserve"> </w:t>
      </w:r>
      <w:r w:rsidR="00753F51">
        <w:t xml:space="preserve">ipso </w:t>
      </w:r>
      <w:r w:rsidR="00490966">
        <w:t xml:space="preserve">facto, but </w:t>
      </w:r>
      <w:r w:rsidR="00286250">
        <w:t xml:space="preserve">not by </w:t>
      </w:r>
      <w:r w:rsidR="00AA64BD">
        <w:t>an</w:t>
      </w:r>
      <w:r w:rsidR="00ED7D40">
        <w:t xml:space="preserve"> aggregate exceeding</w:t>
      </w:r>
      <w:r w:rsidR="00A97009">
        <w:t xml:space="preserve"> 48</w:t>
      </w:r>
      <w:r w:rsidR="003F3DD1">
        <w:t xml:space="preserve"> hours. </w:t>
      </w:r>
      <w:r w:rsidR="00CE7402">
        <w:t xml:space="preserve">Despite the seriousness of COVID-19, this breach is de minimis, </w:t>
      </w:r>
      <w:r w:rsidR="00CE7402">
        <w:lastRenderedPageBreak/>
        <w:t xml:space="preserve">particularly when contrasted </w:t>
      </w:r>
      <w:r w:rsidR="00BE4AC8">
        <w:t>by the serial non-compliance of other states parties</w:t>
      </w:r>
      <w:r w:rsidR="00A9148E">
        <w:t xml:space="preserve"> to the IHR</w:t>
      </w:r>
      <w:r w:rsidR="00BE4AC8">
        <w:t xml:space="preserve">. </w:t>
      </w:r>
      <w:r w:rsidR="00AE71B4">
        <w:t xml:space="preserve">Additionally, the </w:t>
      </w:r>
      <w:r w:rsidR="00F47D1E">
        <w:t>incident proved that the IHR</w:t>
      </w:r>
      <w:r w:rsidR="00C4720D">
        <w:t xml:space="preserve"> </w:t>
      </w:r>
      <w:r w:rsidR="00503CF6">
        <w:t>can</w:t>
      </w:r>
      <w:r w:rsidR="00612EDA">
        <w:t xml:space="preserve"> hold</w:t>
      </w:r>
      <w:r w:rsidR="00C4720D">
        <w:t xml:space="preserve"> </w:t>
      </w:r>
      <w:r w:rsidR="00A02004">
        <w:t>s</w:t>
      </w:r>
      <w:r w:rsidR="00C4720D">
        <w:t>tates to their</w:t>
      </w:r>
      <w:r w:rsidR="00DD779A">
        <w:t xml:space="preserve"> notification duties. </w:t>
      </w:r>
    </w:p>
    <w:p w14:paraId="0F8A1ED1" w14:textId="77777777" w:rsidR="00CF1D49" w:rsidRDefault="00CF1D49" w:rsidP="003E5C22">
      <w:pPr>
        <w:pStyle w:val="ListParagraph"/>
        <w:spacing w:line="480" w:lineRule="auto"/>
      </w:pPr>
    </w:p>
    <w:p w14:paraId="613AF4F9" w14:textId="2DD4D318" w:rsidR="008311AE" w:rsidRDefault="00DD7686" w:rsidP="003E5C22">
      <w:pPr>
        <w:pStyle w:val="ListParagraph"/>
        <w:numPr>
          <w:ilvl w:val="0"/>
          <w:numId w:val="1"/>
        </w:numPr>
        <w:spacing w:line="480" w:lineRule="auto"/>
      </w:pPr>
      <w:r>
        <w:t>T</w:t>
      </w:r>
      <w:r w:rsidR="00CE0136">
        <w:t xml:space="preserve">he IHR’s provisions </w:t>
      </w:r>
      <w:r w:rsidR="009260D2">
        <w:t xml:space="preserve">for the determination of a PHEIC have been criticised for some years, including by the WHA and by WHO itself. </w:t>
      </w:r>
      <w:r w:rsidR="008B612E">
        <w:t xml:space="preserve">The decisions of the Emergency Committee are made behind closed doors, and minutes are not published. Until recently, the membership of the Emergency Committee was kept secret. </w:t>
      </w:r>
      <w:r w:rsidR="00F27BFB">
        <w:t>It has been said that these reflect f</w:t>
      </w:r>
      <w:r w:rsidR="00FB3BAE">
        <w:t>ailures of accountability and transparency</w:t>
      </w:r>
      <w:r w:rsidR="00E97118">
        <w:t xml:space="preserve"> </w:t>
      </w:r>
      <w:r w:rsidR="005B4397">
        <w:t xml:space="preserve">that </w:t>
      </w:r>
      <w:r w:rsidR="00900463">
        <w:t>result directly from IHR inadequacies i</w:t>
      </w:r>
      <w:r w:rsidR="00BC232C">
        <w:t>n how PHEICs are determined.</w:t>
      </w:r>
      <w:r w:rsidR="00CD3CF1">
        <w:rPr>
          <w:rStyle w:val="FootnoteReference"/>
        </w:rPr>
        <w:footnoteReference w:id="7"/>
      </w:r>
      <w:r w:rsidR="00BC232C">
        <w:t xml:space="preserve"> </w:t>
      </w:r>
      <w:r w:rsidR="009913A4">
        <w:t>This criticism is not without merit</w:t>
      </w:r>
      <w:r w:rsidR="00325D64">
        <w:t xml:space="preserve">, but it must be </w:t>
      </w:r>
      <w:r w:rsidR="003019CE">
        <w:t xml:space="preserve">considered that declaring a PHEIC is </w:t>
      </w:r>
      <w:r w:rsidR="0094730A">
        <w:t xml:space="preserve">inescapably a highly politicised process. </w:t>
      </w:r>
      <w:r w:rsidR="00E00D73">
        <w:t xml:space="preserve">In this light it may be that </w:t>
      </w:r>
      <w:r w:rsidR="002666F3">
        <w:t xml:space="preserve">opacity protects the process as much as it hinders it. </w:t>
      </w:r>
      <w:r w:rsidR="0094730A">
        <w:t>No WHO member state would wish to be subject to a PHEIC</w:t>
      </w:r>
      <w:r w:rsidR="00351155">
        <w:t>, and</w:t>
      </w:r>
      <w:r w:rsidR="00520016">
        <w:t xml:space="preserve"> though it only stating the obvious, all</w:t>
      </w:r>
      <w:r w:rsidR="00C209A9">
        <w:t xml:space="preserve"> experts</w:t>
      </w:r>
      <w:r w:rsidR="00520016">
        <w:t xml:space="preserve"> of the Emergency Committee are </w:t>
      </w:r>
      <w:r w:rsidR="00C209A9">
        <w:t xml:space="preserve">citizens of member states. </w:t>
      </w:r>
      <w:r w:rsidR="00E036F8">
        <w:t>From a human perspective, it is apparent th</w:t>
      </w:r>
      <w:r w:rsidR="00EC057D">
        <w:t>at the Emergency Committee</w:t>
      </w:r>
      <w:r w:rsidR="00E036F8">
        <w:t xml:space="preserve"> have before now allowed the consequences </w:t>
      </w:r>
      <w:r w:rsidR="00EC057D">
        <w:t xml:space="preserve">of declaring a PHEIC to affect their </w:t>
      </w:r>
      <w:r w:rsidR="00452222">
        <w:t xml:space="preserve">objective appraisal of whether a PHEIC has occurred. </w:t>
      </w:r>
      <w:r w:rsidR="000733B3">
        <w:t xml:space="preserve">In the North Kivu Ebola outbreak, the </w:t>
      </w:r>
      <w:r w:rsidR="006755A0">
        <w:t>conditions for declaring a PHEIC were arguably present from</w:t>
      </w:r>
      <w:r w:rsidR="003A2A8C">
        <w:t xml:space="preserve"> October 2018 onwards</w:t>
      </w:r>
      <w:r w:rsidR="00A45BD5">
        <w:t xml:space="preserve">, but despite being convened </w:t>
      </w:r>
      <w:r w:rsidR="00F20576">
        <w:t xml:space="preserve">multiple times, the Emergency Committee did not </w:t>
      </w:r>
      <w:r w:rsidR="00FC079D">
        <w:t xml:space="preserve">recommend a PHEIC until </w:t>
      </w:r>
      <w:r w:rsidR="00982D1F">
        <w:t>17 July 20</w:t>
      </w:r>
      <w:r w:rsidR="00BE012D">
        <w:t xml:space="preserve">19. In its meeting on </w:t>
      </w:r>
      <w:r w:rsidR="007964B0">
        <w:t>17 April 2020</w:t>
      </w:r>
      <w:r w:rsidR="00B73343">
        <w:t xml:space="preserve"> the Committee’s formal statement expressed that </w:t>
      </w:r>
      <w:r w:rsidR="007C1A84">
        <w:t>“there is no added benefit to declaring a PHEIC</w:t>
      </w:r>
      <w:r w:rsidR="00F943C4">
        <w:t xml:space="preserve"> at this stage</w:t>
      </w:r>
      <w:r w:rsidR="007C1A84">
        <w:t>”</w:t>
      </w:r>
      <w:r w:rsidR="00F943C4">
        <w:t>.</w:t>
      </w:r>
      <w:r w:rsidR="00F943C4">
        <w:rPr>
          <w:rStyle w:val="FootnoteReference"/>
        </w:rPr>
        <w:footnoteReference w:id="8"/>
      </w:r>
      <w:r w:rsidR="00835768">
        <w:t xml:space="preserve"> The </w:t>
      </w:r>
      <w:r w:rsidR="00174E05">
        <w:t>question</w:t>
      </w:r>
      <w:r w:rsidR="00835768">
        <w:t xml:space="preserve"> of added benefit shows decision-making entirely extraneous </w:t>
      </w:r>
      <w:r w:rsidR="00174E05">
        <w:t>to that provided by the IHR.</w:t>
      </w:r>
    </w:p>
    <w:p w14:paraId="58B30301" w14:textId="77777777" w:rsidR="008311AE" w:rsidRDefault="008311AE" w:rsidP="003E5C22">
      <w:pPr>
        <w:pStyle w:val="ListParagraph"/>
        <w:spacing w:line="480" w:lineRule="auto"/>
      </w:pPr>
    </w:p>
    <w:p w14:paraId="238E5A0D" w14:textId="38F711C6" w:rsidR="00626FF6" w:rsidRDefault="00D30FD3" w:rsidP="003E5C22">
      <w:pPr>
        <w:pStyle w:val="ListParagraph"/>
        <w:numPr>
          <w:ilvl w:val="0"/>
          <w:numId w:val="1"/>
        </w:numPr>
        <w:spacing w:line="480" w:lineRule="auto"/>
      </w:pPr>
      <w:r>
        <w:t>Regarding China, the Committee had to be reconvened</w:t>
      </w:r>
      <w:r w:rsidR="004C495D">
        <w:t xml:space="preserve"> twice</w:t>
      </w:r>
      <w:r>
        <w:t xml:space="preserve"> before it </w:t>
      </w:r>
      <w:r w:rsidR="0014790F">
        <w:t xml:space="preserve">recommended a PHEIC. </w:t>
      </w:r>
      <w:r w:rsidR="00E31989">
        <w:t xml:space="preserve">Despite </w:t>
      </w:r>
      <w:r w:rsidR="00DB666E">
        <w:t xml:space="preserve">exported cases and a preliminary human-to-human transmission </w:t>
      </w:r>
      <w:r w:rsidR="004241E9">
        <w:t xml:space="preserve">range of </w:t>
      </w:r>
      <w:r w:rsidR="004241E9">
        <w:lastRenderedPageBreak/>
        <w:t>R1.4-2.5, t</w:t>
      </w:r>
      <w:r w:rsidR="004C495D">
        <w:t xml:space="preserve">he </w:t>
      </w:r>
      <w:r w:rsidR="00D6324A">
        <w:t xml:space="preserve">first </w:t>
      </w:r>
      <w:r w:rsidR="005E7BA8">
        <w:t xml:space="preserve">meeting declined to recommend a PHEIC </w:t>
      </w:r>
      <w:r w:rsidR="00764632">
        <w:t>“given its restrictive and binary nature”.</w:t>
      </w:r>
      <w:r w:rsidR="00A5666D">
        <w:rPr>
          <w:rStyle w:val="FootnoteReference"/>
        </w:rPr>
        <w:footnoteReference w:id="9"/>
      </w:r>
      <w:r w:rsidR="00764632">
        <w:t xml:space="preserve"> Again, Committee members appear to have b</w:t>
      </w:r>
      <w:r w:rsidR="008311AE">
        <w:t>een swayed by the effect</w:t>
      </w:r>
      <w:r w:rsidR="00F46E64">
        <w:t>s</w:t>
      </w:r>
      <w:r w:rsidR="008311AE">
        <w:t xml:space="preserve"> of their decision </w:t>
      </w:r>
      <w:r w:rsidR="00A5666D">
        <w:t xml:space="preserve">rather than the factors the IHR obliged them to consider. </w:t>
      </w:r>
      <w:r w:rsidR="00AA33E7">
        <w:t xml:space="preserve">When the Committee did recommend a PHEIC, it couched it in </w:t>
      </w:r>
      <w:r w:rsidR="00F33F4C">
        <w:t>language atypically conciliator</w:t>
      </w:r>
      <w:r w:rsidR="00BE2D90">
        <w:t>y</w:t>
      </w:r>
      <w:r w:rsidR="00F33F4C">
        <w:t xml:space="preserve"> to China</w:t>
      </w:r>
      <w:r w:rsidR="008E339A">
        <w:t>:</w:t>
      </w:r>
    </w:p>
    <w:p w14:paraId="2A1B6370" w14:textId="77777777" w:rsidR="008E339A" w:rsidRDefault="008E339A" w:rsidP="003E5C22">
      <w:pPr>
        <w:pStyle w:val="ListParagraph"/>
        <w:spacing w:line="480" w:lineRule="auto"/>
      </w:pPr>
    </w:p>
    <w:p w14:paraId="39D7E28F" w14:textId="3AE045D1" w:rsidR="008E339A" w:rsidRDefault="008E339A" w:rsidP="003E5C22">
      <w:pPr>
        <w:pStyle w:val="ListParagraph"/>
        <w:spacing w:line="480" w:lineRule="auto"/>
      </w:pPr>
      <w:r>
        <w:t>“</w:t>
      </w:r>
      <w:r w:rsidRPr="008E339A">
        <w:t>The Committee emphasized that the declaration of a PHEIC should be seen in the spirit of support and appreciation for China, its people, and the actions China has taken on the frontlines of this outbreak, with transparency, and, it is to be hoped, with success.</w:t>
      </w:r>
      <w:r>
        <w:t>”</w:t>
      </w:r>
      <w:r>
        <w:rPr>
          <w:rStyle w:val="FootnoteReference"/>
        </w:rPr>
        <w:footnoteReference w:id="10"/>
      </w:r>
    </w:p>
    <w:p w14:paraId="272157AD" w14:textId="77777777" w:rsidR="00626FF6" w:rsidRDefault="00626FF6" w:rsidP="003E5C22">
      <w:pPr>
        <w:pStyle w:val="ListParagraph"/>
        <w:spacing w:line="480" w:lineRule="auto"/>
      </w:pPr>
    </w:p>
    <w:p w14:paraId="475B4D3A" w14:textId="57D5C3AF" w:rsidR="007C1A84" w:rsidRDefault="009D6E3E" w:rsidP="003E5C22">
      <w:pPr>
        <w:pStyle w:val="ListParagraph"/>
        <w:spacing w:line="480" w:lineRule="auto"/>
      </w:pPr>
      <w:r>
        <w:t xml:space="preserve">Political pressures may make such gestures </w:t>
      </w:r>
      <w:r w:rsidR="0082488D">
        <w:t xml:space="preserve">desirable, but </w:t>
      </w:r>
      <w:r w:rsidR="00BA0634">
        <w:t xml:space="preserve">they sacrifice the impartiality the WHO relies on to function. </w:t>
      </w:r>
    </w:p>
    <w:p w14:paraId="1BC854C5" w14:textId="21E3CCC1" w:rsidR="00F63D5E" w:rsidRDefault="00F63D5E" w:rsidP="003E5C22">
      <w:pPr>
        <w:pStyle w:val="ListParagraph"/>
        <w:spacing w:line="480" w:lineRule="auto"/>
      </w:pPr>
    </w:p>
    <w:p w14:paraId="0954FDEC" w14:textId="4D53184C" w:rsidR="002E3E6B" w:rsidRDefault="00A731A0" w:rsidP="003E5C22">
      <w:pPr>
        <w:pStyle w:val="ListParagraph"/>
        <w:numPr>
          <w:ilvl w:val="0"/>
          <w:numId w:val="1"/>
        </w:numPr>
        <w:spacing w:line="480" w:lineRule="auto"/>
      </w:pPr>
      <w:r>
        <w:t>The difficulties in promptly determining a PHEIC have led to call</w:t>
      </w:r>
      <w:r w:rsidR="00790C51">
        <w:t>s for its replacement by</w:t>
      </w:r>
      <w:r>
        <w:t xml:space="preserve"> a graded system whereby </w:t>
      </w:r>
      <w:r w:rsidR="007D1AAD">
        <w:t>a proportional level of emergency could be invoked.</w:t>
      </w:r>
      <w:r w:rsidR="007D1AAD">
        <w:rPr>
          <w:rStyle w:val="FootnoteReference"/>
        </w:rPr>
        <w:footnoteReference w:id="11"/>
      </w:r>
      <w:r w:rsidR="007D1AAD">
        <w:t xml:space="preserve"> </w:t>
      </w:r>
      <w:r w:rsidR="00904D39">
        <w:t>This would do nothing to alleviate the challenge of determining a maximal</w:t>
      </w:r>
      <w:r w:rsidR="00A01EAA">
        <w:t xml:space="preserve"> level event where circumstances objectively warranted it. The answer lies not within the IHR but in collective political will.</w:t>
      </w:r>
      <w:r w:rsidR="00031018">
        <w:t xml:space="preserve"> </w:t>
      </w:r>
      <w:r w:rsidR="00D607A9">
        <w:t xml:space="preserve">The first test of the IHR came with </w:t>
      </w:r>
      <w:r w:rsidR="00300847">
        <w:t xml:space="preserve">the 2009 swine flu outbreak. Many, including the </w:t>
      </w:r>
      <w:r w:rsidR="00E8044A">
        <w:t>IHR</w:t>
      </w:r>
      <w:r w:rsidR="00A37D2E">
        <w:t>’s own</w:t>
      </w:r>
      <w:r w:rsidR="00E8044A">
        <w:t xml:space="preserve"> Review Committee</w:t>
      </w:r>
      <w:r w:rsidR="00400823">
        <w:rPr>
          <w:rStyle w:val="FootnoteReference"/>
        </w:rPr>
        <w:footnoteReference w:id="12"/>
      </w:r>
      <w:r w:rsidR="00E8044A">
        <w:t>, retrospectively judged the declaration of a PHEIC precipitous</w:t>
      </w:r>
      <w:r w:rsidR="009A7299">
        <w:t xml:space="preserve">, given the H1N1 virus proved of low relative harm. </w:t>
      </w:r>
      <w:r w:rsidR="005D63E0">
        <w:t xml:space="preserve">Some went so far as to accuse the WHO of conspiring with pharmaceutical companies, </w:t>
      </w:r>
      <w:r w:rsidR="00840514">
        <w:t xml:space="preserve">some of </w:t>
      </w:r>
      <w:r w:rsidR="000D049B">
        <w:t>which had government contracts that would be triggered by the declaration.</w:t>
      </w:r>
      <w:r w:rsidR="00840514">
        <w:t xml:space="preserve"> </w:t>
      </w:r>
      <w:r w:rsidR="00716D3C">
        <w:t>The Emergency Committee</w:t>
      </w:r>
      <w:r w:rsidR="000D1511">
        <w:t>’</w:t>
      </w:r>
      <w:r w:rsidR="00716D3C">
        <w:t xml:space="preserve">s reluctance to advise a </w:t>
      </w:r>
      <w:r w:rsidR="00716D3C">
        <w:lastRenderedPageBreak/>
        <w:t>PHEIC ar</w:t>
      </w:r>
      <w:r w:rsidR="000D1511">
        <w:t xml:space="preserve">ose </w:t>
      </w:r>
      <w:r w:rsidR="003134AA">
        <w:t>during this criticism</w:t>
      </w:r>
      <w:r w:rsidR="000D1511">
        <w:t xml:space="preserve">. But if WHO member states cannot tolerate false alarms, then they </w:t>
      </w:r>
      <w:r w:rsidR="005F161F">
        <w:t>must expect delayed declarations</w:t>
      </w:r>
      <w:r w:rsidR="009213B2">
        <w:t>, and</w:t>
      </w:r>
      <w:r w:rsidR="005F161F">
        <w:t xml:space="preserve"> </w:t>
      </w:r>
      <w:r w:rsidR="009213B2">
        <w:t>i</w:t>
      </w:r>
      <w:r w:rsidR="005F161F">
        <w:t xml:space="preserve">f perfection is expected, then every </w:t>
      </w:r>
      <w:r w:rsidR="00BF2F8E">
        <w:t xml:space="preserve">determination of a PHEIC will always be either too </w:t>
      </w:r>
      <w:r w:rsidR="002E3E6B">
        <w:t xml:space="preserve">late or too soon. </w:t>
      </w:r>
    </w:p>
    <w:p w14:paraId="3233D46A" w14:textId="4863170D" w:rsidR="006E3462" w:rsidRDefault="006E3462" w:rsidP="003E5C22">
      <w:pPr>
        <w:pStyle w:val="ListParagraph"/>
        <w:spacing w:line="480" w:lineRule="auto"/>
      </w:pPr>
    </w:p>
    <w:p w14:paraId="3CE1CEC0" w14:textId="50FE90EF" w:rsidR="006E3462" w:rsidRPr="006E3462" w:rsidRDefault="006E3462" w:rsidP="003E5C22">
      <w:pPr>
        <w:pStyle w:val="ListParagraph"/>
        <w:spacing w:line="480" w:lineRule="auto"/>
        <w:rPr>
          <w:u w:val="single"/>
        </w:rPr>
      </w:pPr>
      <w:r w:rsidRPr="006E3462">
        <w:rPr>
          <w:u w:val="single"/>
        </w:rPr>
        <w:t>The recommendatory provisions</w:t>
      </w:r>
    </w:p>
    <w:p w14:paraId="21DBF500" w14:textId="77777777" w:rsidR="006E3462" w:rsidRDefault="006E3462" w:rsidP="003E5C22">
      <w:pPr>
        <w:pStyle w:val="ListParagraph"/>
        <w:spacing w:line="480" w:lineRule="auto"/>
      </w:pPr>
    </w:p>
    <w:p w14:paraId="5918F9B5" w14:textId="07498B76" w:rsidR="006E3462" w:rsidRDefault="007217F2" w:rsidP="003E5C22">
      <w:pPr>
        <w:pStyle w:val="ListParagraph"/>
        <w:numPr>
          <w:ilvl w:val="0"/>
          <w:numId w:val="1"/>
        </w:numPr>
        <w:spacing w:line="480" w:lineRule="auto"/>
      </w:pPr>
      <w:r>
        <w:t xml:space="preserve">The informational provisions of the IHR </w:t>
      </w:r>
      <w:r w:rsidR="002D56F0">
        <w:t>reflect the WHO’s intended status as a neutral and observing body, which acts as a</w:t>
      </w:r>
      <w:r w:rsidR="008E45CE">
        <w:t>n</w:t>
      </w:r>
      <w:r w:rsidR="007A2C8D">
        <w:t xml:space="preserve"> internationally</w:t>
      </w:r>
      <w:r w:rsidR="008E45CE">
        <w:t xml:space="preserve"> agreed conduit for </w:t>
      </w:r>
      <w:r w:rsidR="008E235C">
        <w:t xml:space="preserve">official data. </w:t>
      </w:r>
      <w:r w:rsidR="00354641">
        <w:t>The IHR oblige it t</w:t>
      </w:r>
      <w:r w:rsidR="007A2C8D">
        <w:t>o collect and ver</w:t>
      </w:r>
      <w:r w:rsidR="00841460">
        <w:t xml:space="preserve">ify </w:t>
      </w:r>
      <w:r w:rsidR="00354641">
        <w:t xml:space="preserve">information relating to public health risks, and if that information meets certain criteria, a PHEIC is declared. </w:t>
      </w:r>
      <w:r w:rsidR="004970C7">
        <w:t>However, in abandoning the fixed limits to permissible national health measure</w:t>
      </w:r>
      <w:r w:rsidR="009324C3">
        <w:t xml:space="preserve">s found in </w:t>
      </w:r>
      <w:r w:rsidR="005A509F">
        <w:t>preceding</w:t>
      </w:r>
      <w:r w:rsidR="009324C3">
        <w:t xml:space="preserve"> regulation,</w:t>
      </w:r>
      <w:r w:rsidR="005E3CCA">
        <w:t xml:space="preserve"> </w:t>
      </w:r>
      <w:r w:rsidR="00DF4B4C">
        <w:t>the IHR instead obliged the WHO to issue outbreak-specific recommendations</w:t>
      </w:r>
      <w:r w:rsidR="00E43968">
        <w:t>, even where the disease was</w:t>
      </w:r>
      <w:r w:rsidR="005A509F">
        <w:t xml:space="preserve"> </w:t>
      </w:r>
      <w:r w:rsidR="00E43968">
        <w:t xml:space="preserve">entirely unknown. </w:t>
      </w:r>
      <w:r w:rsidR="00005624">
        <w:t>I</w:t>
      </w:r>
      <w:r w:rsidR="00FE5100">
        <w:t xml:space="preserve">t was not enough for the WHO to identify a </w:t>
      </w:r>
      <w:r w:rsidR="00F54574">
        <w:t xml:space="preserve">PHEIC, it now also had duties analogous to diagnosis and treatment. </w:t>
      </w:r>
      <w:r w:rsidR="00005624">
        <w:t>These</w:t>
      </w:r>
      <w:r w:rsidR="00AB05D4">
        <w:t xml:space="preserve"> ambitio</w:t>
      </w:r>
      <w:r w:rsidR="00271778">
        <w:t>ns</w:t>
      </w:r>
      <w:r w:rsidR="00005624">
        <w:t xml:space="preserve"> </w:t>
      </w:r>
      <w:r w:rsidR="006E1846">
        <w:t>can only result in controversy</w:t>
      </w:r>
      <w:r w:rsidR="00CE2D3B">
        <w:t>.</w:t>
      </w:r>
      <w:r w:rsidR="00340290">
        <w:t xml:space="preserve"> </w:t>
      </w:r>
      <w:r w:rsidR="00C91D08">
        <w:t xml:space="preserve">The WHO is </w:t>
      </w:r>
      <w:r w:rsidR="003E0A74">
        <w:t xml:space="preserve">not </w:t>
      </w:r>
      <w:r w:rsidR="00C91D08">
        <w:t>well-suited to</w:t>
      </w:r>
      <w:r w:rsidR="00340290">
        <w:t xml:space="preserve"> issuing ongoing </w:t>
      </w:r>
      <w:r w:rsidR="00E46F35">
        <w:t xml:space="preserve">and up-the-minute advice on </w:t>
      </w:r>
      <w:r w:rsidR="003C73B3">
        <w:t>emergent pathogens in vital matters</w:t>
      </w:r>
      <w:r w:rsidR="00E46F35">
        <w:t xml:space="preserve"> such as asymptomatic spread</w:t>
      </w:r>
      <w:r w:rsidR="001160F4">
        <w:t>, entry screening</w:t>
      </w:r>
      <w:r w:rsidR="00E46F35">
        <w:t xml:space="preserve"> and human-to-human transmission,</w:t>
      </w:r>
      <w:r w:rsidR="003E0A74">
        <w:t xml:space="preserve"> where it is easy to be wrong</w:t>
      </w:r>
      <w:r w:rsidR="00EC66F8">
        <w:t xml:space="preserve">, and mistakes come at the expense of much-valued confidence. </w:t>
      </w:r>
    </w:p>
    <w:p w14:paraId="15373248" w14:textId="12E8E123" w:rsidR="00CE2D3B" w:rsidRDefault="00CE2D3B" w:rsidP="003E5C22">
      <w:pPr>
        <w:pStyle w:val="ListParagraph"/>
        <w:spacing w:line="480" w:lineRule="auto"/>
      </w:pPr>
    </w:p>
    <w:p w14:paraId="0F744BF7" w14:textId="61FA45D5" w:rsidR="00CE2D3B" w:rsidRDefault="00CE2D3B" w:rsidP="003E5C22">
      <w:pPr>
        <w:pStyle w:val="ListParagraph"/>
        <w:numPr>
          <w:ilvl w:val="0"/>
          <w:numId w:val="1"/>
        </w:numPr>
        <w:spacing w:line="480" w:lineRule="auto"/>
      </w:pPr>
      <w:r>
        <w:t>This second function which the IHR place</w:t>
      </w:r>
      <w:r w:rsidR="00271778">
        <w:t>s</w:t>
      </w:r>
      <w:r>
        <w:t xml:space="preserve"> </w:t>
      </w:r>
      <w:r w:rsidR="00990199">
        <w:t xml:space="preserve">upon the WHO is complicated by </w:t>
      </w:r>
      <w:r w:rsidR="00347EA8">
        <w:t xml:space="preserve">the </w:t>
      </w:r>
      <w:r w:rsidR="002B130B">
        <w:t xml:space="preserve">IHR’s purpose: these recommendations must </w:t>
      </w:r>
      <w:r w:rsidR="008E63E8">
        <w:t>resolve</w:t>
      </w:r>
      <w:r w:rsidR="002B130B">
        <w:t xml:space="preserve"> public health</w:t>
      </w:r>
      <w:r w:rsidR="008E63E8">
        <w:t xml:space="preserve"> risk</w:t>
      </w:r>
      <w:r w:rsidR="002B130B">
        <w:t xml:space="preserve"> but also facilitate international trade and traffic.</w:t>
      </w:r>
      <w:r w:rsidR="00801DF3">
        <w:t xml:space="preserve"> </w:t>
      </w:r>
      <w:r w:rsidR="007A012D">
        <w:t>The paradox is that having proclaimed a pandemic to the world, the Emergency Committee</w:t>
      </w:r>
      <w:r w:rsidR="00C3409C">
        <w:t xml:space="preserve"> must then</w:t>
      </w:r>
      <w:r w:rsidR="00084C93">
        <w:t xml:space="preserve">, in </w:t>
      </w:r>
      <w:r w:rsidR="00CE4A10">
        <w:t>advising on</w:t>
      </w:r>
      <w:r w:rsidR="00C3409C">
        <w:t xml:space="preserve"> Temporary Recommendations</w:t>
      </w:r>
      <w:r w:rsidR="00084C93">
        <w:t xml:space="preserve">, </w:t>
      </w:r>
      <w:r w:rsidR="005C682D">
        <w:t xml:space="preserve">set about the contrary purpose of </w:t>
      </w:r>
      <w:r w:rsidR="008B5D16">
        <w:t>ensur</w:t>
      </w:r>
      <w:r w:rsidR="005C682D">
        <w:t>ing</w:t>
      </w:r>
      <w:r w:rsidR="008B5D16">
        <w:t xml:space="preserve"> that</w:t>
      </w:r>
      <w:r w:rsidR="00C3409C">
        <w:t xml:space="preserve"> minimal disturbance </w:t>
      </w:r>
      <w:r w:rsidR="008B5D16">
        <w:t xml:space="preserve">is caused to </w:t>
      </w:r>
      <w:r w:rsidR="00084C93">
        <w:t xml:space="preserve">business and travel. </w:t>
      </w:r>
      <w:r w:rsidR="006F0696">
        <w:t xml:space="preserve">Many organisations have to serve conflicting or contrary </w:t>
      </w:r>
      <w:proofErr w:type="gramStart"/>
      <w:r w:rsidR="006F0696">
        <w:t>purposes</w:t>
      </w:r>
      <w:proofErr w:type="gramEnd"/>
      <w:r w:rsidR="006F0696">
        <w:t xml:space="preserve"> and this is not in itself </w:t>
      </w:r>
      <w:r w:rsidR="00175BFE">
        <w:t xml:space="preserve">fatal to the IHR. </w:t>
      </w:r>
      <w:r w:rsidR="00654C8C">
        <w:t xml:space="preserve">The flaw arises around maximal level events where profound </w:t>
      </w:r>
      <w:r w:rsidR="00654C8C">
        <w:lastRenderedPageBreak/>
        <w:t xml:space="preserve">economic damage is unavoidable, </w:t>
      </w:r>
      <w:r w:rsidR="00336940">
        <w:t>and where severe short-term disruption to trade and traffic may afford greater long-term economic protection to states parties. It is submitted that tha</w:t>
      </w:r>
      <w:r w:rsidR="00455180">
        <w:t>t the present pandemic is one such event</w:t>
      </w:r>
      <w:r w:rsidR="0016436B">
        <w:t xml:space="preserve">, and that </w:t>
      </w:r>
      <w:r w:rsidR="00743435">
        <w:t xml:space="preserve">in </w:t>
      </w:r>
      <w:r w:rsidR="00DB3564">
        <w:t xml:space="preserve">compelling the WHO to </w:t>
      </w:r>
      <w:r w:rsidR="009B5D72">
        <w:t xml:space="preserve">always </w:t>
      </w:r>
      <w:r w:rsidR="00DB3564">
        <w:t>safeguard movement and commerce, the IHR demands i</w:t>
      </w:r>
      <w:r w:rsidR="00D62C3B">
        <w:t>t</w:t>
      </w:r>
      <w:r w:rsidR="00DB3564">
        <w:t xml:space="preserve"> a</w:t>
      </w:r>
      <w:r w:rsidR="00F518CC">
        <w:t>ttempt</w:t>
      </w:r>
      <w:r w:rsidR="00DB3564">
        <w:t xml:space="preserve"> the impossible. </w:t>
      </w:r>
    </w:p>
    <w:p w14:paraId="62F96D33" w14:textId="77777777" w:rsidR="00DB3564" w:rsidRDefault="00DB3564" w:rsidP="003E5C22">
      <w:pPr>
        <w:pStyle w:val="ListParagraph"/>
        <w:spacing w:line="480" w:lineRule="auto"/>
      </w:pPr>
    </w:p>
    <w:p w14:paraId="0DFDF700" w14:textId="5EF04E14" w:rsidR="00DB3564" w:rsidRDefault="00D37E4A" w:rsidP="003E5C22">
      <w:pPr>
        <w:pStyle w:val="ListParagraph"/>
        <w:numPr>
          <w:ilvl w:val="0"/>
          <w:numId w:val="1"/>
        </w:numPr>
        <w:spacing w:line="480" w:lineRule="auto"/>
      </w:pPr>
      <w:r>
        <w:t xml:space="preserve">The WHO and the Emergency Committee have advised against travel restrictions throughout </w:t>
      </w:r>
      <w:r w:rsidR="00743899">
        <w:t>COVID-19</w:t>
      </w:r>
      <w:r w:rsidR="001A6769">
        <w:t xml:space="preserve">, yet by the end of March </w:t>
      </w:r>
      <w:r w:rsidR="0059136F">
        <w:t xml:space="preserve">2020 </w:t>
      </w:r>
      <w:r w:rsidR="001A6769">
        <w:t xml:space="preserve">it was apparent that </w:t>
      </w:r>
      <w:r w:rsidR="005D5974">
        <w:t>almost every country in the world had implemented some arbitrary restriction on international travel.</w:t>
      </w:r>
      <w:r w:rsidR="0059136F">
        <w:rPr>
          <w:rStyle w:val="FootnoteReference"/>
        </w:rPr>
        <w:footnoteReference w:id="13"/>
      </w:r>
      <w:r w:rsidR="005D5974">
        <w:t xml:space="preserve"> </w:t>
      </w:r>
      <w:r w:rsidR="000B7BC6">
        <w:t>An untold number</w:t>
      </w:r>
      <w:r w:rsidR="009D6CCD">
        <w:t xml:space="preserve"> of WHO member states</w:t>
      </w:r>
      <w:r w:rsidR="000B7BC6">
        <w:t xml:space="preserve">, but </w:t>
      </w:r>
      <w:r w:rsidR="00E01513">
        <w:t xml:space="preserve">it may reasonably </w:t>
      </w:r>
      <w:r w:rsidR="0098249F">
        <w:t xml:space="preserve">be </w:t>
      </w:r>
      <w:r w:rsidR="00E01513">
        <w:t xml:space="preserve">assumed to be a majority, </w:t>
      </w:r>
      <w:r w:rsidR="0098249F">
        <w:t>had also breached th</w:t>
      </w:r>
      <w:r w:rsidR="009D6CCD">
        <w:t xml:space="preserve">eir obligation under article 43 to notify </w:t>
      </w:r>
      <w:r w:rsidR="00D538C9">
        <w:t xml:space="preserve">the WHO of the additional health measures these restrictions represented. </w:t>
      </w:r>
      <w:r w:rsidR="008B7F1B">
        <w:t xml:space="preserve">This </w:t>
      </w:r>
      <w:r w:rsidR="00022C4C">
        <w:t>is</w:t>
      </w:r>
      <w:r w:rsidR="008B7F1B">
        <w:t xml:space="preserve"> non-compliance </w:t>
      </w:r>
      <w:proofErr w:type="spellStart"/>
      <w:r w:rsidR="008B7F1B">
        <w:t>en</w:t>
      </w:r>
      <w:proofErr w:type="spellEnd"/>
      <w:r w:rsidR="008B7F1B">
        <w:t xml:space="preserve"> masse, </w:t>
      </w:r>
      <w:r w:rsidR="00022C4C">
        <w:t>which comes at an additional cost to</w:t>
      </w:r>
      <w:r w:rsidR="006D5095">
        <w:t xml:space="preserve"> the WHO’s</w:t>
      </w:r>
      <w:r w:rsidR="00022C4C">
        <w:t xml:space="preserve"> legitimacy, </w:t>
      </w:r>
      <w:r w:rsidR="006D5095">
        <w:t xml:space="preserve">and which is </w:t>
      </w:r>
      <w:r w:rsidR="00B4189D">
        <w:t>made more expensive still by the human reluctance to declare a PHEIC</w:t>
      </w:r>
      <w:r w:rsidR="006D5095">
        <w:t>,</w:t>
      </w:r>
      <w:r w:rsidR="00B4189D">
        <w:t xml:space="preserve"> and </w:t>
      </w:r>
      <w:r w:rsidR="00462F90">
        <w:t xml:space="preserve">the diplomatic language the PHEIC was couched in when it came. </w:t>
      </w:r>
    </w:p>
    <w:p w14:paraId="3B85EB8F" w14:textId="77777777" w:rsidR="00462F90" w:rsidRDefault="00462F90" w:rsidP="003E5C22">
      <w:pPr>
        <w:pStyle w:val="ListParagraph"/>
        <w:spacing w:line="480" w:lineRule="auto"/>
      </w:pPr>
    </w:p>
    <w:p w14:paraId="41CB9E55" w14:textId="308D03BA" w:rsidR="00462F90" w:rsidRPr="00462F90" w:rsidRDefault="00462F90" w:rsidP="003E5C22">
      <w:pPr>
        <w:pStyle w:val="ListParagraph"/>
        <w:spacing w:line="480" w:lineRule="auto"/>
        <w:rPr>
          <w:u w:val="single"/>
        </w:rPr>
      </w:pPr>
      <w:r w:rsidRPr="00462F90">
        <w:rPr>
          <w:u w:val="single"/>
        </w:rPr>
        <w:t>Conclusion</w:t>
      </w:r>
    </w:p>
    <w:p w14:paraId="6C9B3136" w14:textId="77777777" w:rsidR="00462F90" w:rsidRDefault="00462F90" w:rsidP="003E5C22">
      <w:pPr>
        <w:pStyle w:val="ListParagraph"/>
        <w:spacing w:line="480" w:lineRule="auto"/>
      </w:pPr>
    </w:p>
    <w:p w14:paraId="4A093BCF" w14:textId="1456418F" w:rsidR="00462F90" w:rsidRDefault="004638D2" w:rsidP="003E5C22">
      <w:pPr>
        <w:pStyle w:val="ListParagraph"/>
        <w:numPr>
          <w:ilvl w:val="0"/>
          <w:numId w:val="1"/>
        </w:numPr>
        <w:spacing w:line="480" w:lineRule="auto"/>
      </w:pPr>
      <w:r>
        <w:t>Thankfully, i</w:t>
      </w:r>
      <w:r w:rsidR="00FA5253">
        <w:t xml:space="preserve">t is not necessary to defend the IHR </w:t>
      </w:r>
      <w:r>
        <w:t xml:space="preserve">in order to protect it. Under article </w:t>
      </w:r>
      <w:r w:rsidR="000B3F45">
        <w:t xml:space="preserve">55 </w:t>
      </w:r>
      <w:r w:rsidR="005F4E1C">
        <w:t>the IHR</w:t>
      </w:r>
      <w:r w:rsidR="000B3F45">
        <w:t xml:space="preserve"> contains the seeds of its own renewal. </w:t>
      </w:r>
      <w:r w:rsidR="005A50EC">
        <w:t>Amendments may be proposed by any state part</w:t>
      </w:r>
      <w:r w:rsidR="00861BAB">
        <w:t xml:space="preserve">y or the Director General, </w:t>
      </w:r>
      <w:r w:rsidR="0020543C">
        <w:t xml:space="preserve">and after a minimum circulation period of four months, can be approved </w:t>
      </w:r>
      <w:r w:rsidR="00BC2388">
        <w:t xml:space="preserve">by the next WHA. </w:t>
      </w:r>
      <w:r w:rsidR="00A76EA3">
        <w:t>Much l</w:t>
      </w:r>
      <w:r w:rsidR="00BC2388">
        <w:t>ike all pathogens,</w:t>
      </w:r>
      <w:r w:rsidR="00A76EA3">
        <w:t xml:space="preserve"> in fact, </w:t>
      </w:r>
      <w:r w:rsidR="00BC2388">
        <w:t xml:space="preserve">the IHR are designed with self-survival in mind. </w:t>
      </w:r>
      <w:r w:rsidR="00281DAC">
        <w:t>In this light ongoing assessment and reform is no more than due diligence</w:t>
      </w:r>
      <w:r w:rsidR="00EE4D5C">
        <w:t>, or to continue the metaphor, evolution</w:t>
      </w:r>
      <w:r w:rsidR="00436813">
        <w:t xml:space="preserve">, </w:t>
      </w:r>
      <w:r w:rsidR="00071382">
        <w:t xml:space="preserve">and </w:t>
      </w:r>
      <w:r w:rsidR="00436813">
        <w:t xml:space="preserve">hence the IHR provides for its own introspective Review Committee. </w:t>
      </w:r>
      <w:r w:rsidR="00AA175A">
        <w:t xml:space="preserve">Despite the </w:t>
      </w:r>
      <w:r w:rsidR="009173C3">
        <w:t>ideological foundations of the</w:t>
      </w:r>
      <w:r w:rsidR="00AA175A">
        <w:t xml:space="preserve"> UN, and </w:t>
      </w:r>
      <w:r w:rsidR="009173C3">
        <w:t xml:space="preserve">that globalization is </w:t>
      </w:r>
      <w:r w:rsidR="009173C3">
        <w:lastRenderedPageBreak/>
        <w:t xml:space="preserve">itself a catalyst for </w:t>
      </w:r>
      <w:r w:rsidR="002047B4">
        <w:t>pandemics,</w:t>
      </w:r>
      <w:r w:rsidR="005F4E1C">
        <w:t xml:space="preserve"> </w:t>
      </w:r>
      <w:r w:rsidR="002047B4">
        <w:t xml:space="preserve">the </w:t>
      </w:r>
      <w:r w:rsidR="005F4E1C">
        <w:t xml:space="preserve">concept </w:t>
      </w:r>
      <w:r w:rsidR="00050204">
        <w:t>that nation states are obliged to</w:t>
      </w:r>
      <w:r w:rsidR="005F4E1C">
        <w:t xml:space="preserve"> co-ordinat</w:t>
      </w:r>
      <w:r w:rsidR="00050204">
        <w:t>e</w:t>
      </w:r>
      <w:r w:rsidR="005F4E1C">
        <w:t xml:space="preserve"> in the face of </w:t>
      </w:r>
      <w:r w:rsidR="000F6355">
        <w:t>global infectious disease</w:t>
      </w:r>
      <w:r w:rsidR="00534B78">
        <w:t xml:space="preserve"> rests on</w:t>
      </w:r>
      <w:r w:rsidR="00050204">
        <w:t xml:space="preserve"> ancient principles of</w:t>
      </w:r>
      <w:r w:rsidR="00534B78">
        <w:t xml:space="preserve"> jus cogens. </w:t>
      </w:r>
      <w:r w:rsidR="00527DFA">
        <w:t xml:space="preserve">The IHR is but its contemporary incarnation. </w:t>
      </w:r>
      <w:r w:rsidR="00927182">
        <w:t>One could posit that its informational and recommendatory functions be</w:t>
      </w:r>
      <w:r w:rsidR="00555A19">
        <w:t xml:space="preserve"> split between different bodies (certainly the same Emergency Committee should not be responsible for both), but </w:t>
      </w:r>
      <w:r w:rsidR="00826C12">
        <w:t xml:space="preserve">reform will only strengthen it. That, at base, is the sign of an organism fit for purpose. </w:t>
      </w:r>
    </w:p>
    <w:p w14:paraId="4EFC317E" w14:textId="77777777" w:rsidR="00924465" w:rsidRDefault="00924465" w:rsidP="003E5C22">
      <w:pPr>
        <w:pStyle w:val="ListParagraph"/>
        <w:spacing w:line="480" w:lineRule="auto"/>
      </w:pPr>
    </w:p>
    <w:p w14:paraId="2D447B03" w14:textId="372FFEC7" w:rsidR="00480061" w:rsidRDefault="00480061" w:rsidP="003E5C22">
      <w:pPr>
        <w:spacing w:line="480" w:lineRule="auto"/>
      </w:pPr>
    </w:p>
    <w:p w14:paraId="6620D688" w14:textId="14D2FD5F" w:rsidR="009A7984" w:rsidRDefault="009A7984" w:rsidP="003E5C22">
      <w:pPr>
        <w:spacing w:line="480" w:lineRule="auto"/>
      </w:pPr>
    </w:p>
    <w:p w14:paraId="1777FC13" w14:textId="0AF32848" w:rsidR="00D95B5C" w:rsidRDefault="00D36AB5" w:rsidP="003E5C22">
      <w:pPr>
        <w:spacing w:line="480" w:lineRule="auto"/>
      </w:pPr>
      <w:r>
        <w:t>Robert Lewis</w:t>
      </w:r>
      <w:bookmarkStart w:id="0" w:name="_GoBack"/>
      <w:bookmarkEnd w:id="0"/>
    </w:p>
    <w:sectPr w:rsidR="00D95B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1FFD5" w14:textId="77777777" w:rsidR="00740E1E" w:rsidRDefault="00740E1E" w:rsidP="007E49CD">
      <w:pPr>
        <w:spacing w:after="0" w:line="240" w:lineRule="auto"/>
      </w:pPr>
      <w:r>
        <w:separator/>
      </w:r>
    </w:p>
  </w:endnote>
  <w:endnote w:type="continuationSeparator" w:id="0">
    <w:p w14:paraId="3C59BA8A" w14:textId="77777777" w:rsidR="00740E1E" w:rsidRDefault="00740E1E" w:rsidP="007E4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B5859" w14:textId="77777777" w:rsidR="00740E1E" w:rsidRDefault="00740E1E" w:rsidP="007E49CD">
      <w:pPr>
        <w:spacing w:after="0" w:line="240" w:lineRule="auto"/>
      </w:pPr>
      <w:r>
        <w:separator/>
      </w:r>
    </w:p>
  </w:footnote>
  <w:footnote w:type="continuationSeparator" w:id="0">
    <w:p w14:paraId="32082151" w14:textId="77777777" w:rsidR="00740E1E" w:rsidRDefault="00740E1E" w:rsidP="007E49CD">
      <w:pPr>
        <w:spacing w:after="0" w:line="240" w:lineRule="auto"/>
      </w:pPr>
      <w:r>
        <w:continuationSeparator/>
      </w:r>
    </w:p>
  </w:footnote>
  <w:footnote w:id="1">
    <w:p w14:paraId="331B6239" w14:textId="10D3D781" w:rsidR="00723295" w:rsidRDefault="00723295">
      <w:pPr>
        <w:pStyle w:val="FootnoteText"/>
      </w:pPr>
      <w:r>
        <w:rPr>
          <w:rStyle w:val="FootnoteReference"/>
        </w:rPr>
        <w:footnoteRef/>
      </w:r>
      <w:r>
        <w:t xml:space="preserve"> </w:t>
      </w:r>
      <w:r w:rsidR="001C7F52">
        <w:t xml:space="preserve">Albert Camus, </w:t>
      </w:r>
      <w:r w:rsidR="001C7F52" w:rsidRPr="000D39D4">
        <w:rPr>
          <w:i/>
          <w:iCs/>
        </w:rPr>
        <w:t xml:space="preserve">La </w:t>
      </w:r>
      <w:proofErr w:type="spellStart"/>
      <w:r w:rsidR="001C7F52" w:rsidRPr="000D39D4">
        <w:rPr>
          <w:i/>
          <w:iCs/>
        </w:rPr>
        <w:t>Peste</w:t>
      </w:r>
      <w:proofErr w:type="spellEnd"/>
      <w:r w:rsidR="001C7F52">
        <w:t xml:space="preserve"> (Folio, </w:t>
      </w:r>
      <w:r w:rsidR="000D39D4">
        <w:t>1972</w:t>
      </w:r>
      <w:r w:rsidR="008C7A79">
        <w:t>) 41</w:t>
      </w:r>
    </w:p>
  </w:footnote>
  <w:footnote w:id="2">
    <w:p w14:paraId="6D917ED1" w14:textId="4B1FDE28" w:rsidR="007E49CD" w:rsidRDefault="007E49CD">
      <w:pPr>
        <w:pStyle w:val="FootnoteText"/>
      </w:pPr>
      <w:r>
        <w:rPr>
          <w:rStyle w:val="FootnoteReference"/>
        </w:rPr>
        <w:footnoteRef/>
      </w:r>
      <w:r>
        <w:t xml:space="preserve"> Article 2, International Health Regulations</w:t>
      </w:r>
      <w:r w:rsidR="00356EB5">
        <w:t xml:space="preserve"> 2005</w:t>
      </w:r>
      <w:r>
        <w:t xml:space="preserve"> (World Health Organization</w:t>
      </w:r>
      <w:r w:rsidR="00DF67A3">
        <w:t>)</w:t>
      </w:r>
    </w:p>
  </w:footnote>
  <w:footnote w:id="3">
    <w:p w14:paraId="62E158DB" w14:textId="4870B1E1" w:rsidR="00B12388" w:rsidRDefault="00B12388">
      <w:pPr>
        <w:pStyle w:val="FootnoteText"/>
      </w:pPr>
      <w:r>
        <w:rPr>
          <w:rStyle w:val="FootnoteReference"/>
        </w:rPr>
        <w:footnoteRef/>
      </w:r>
      <w:r>
        <w:t xml:space="preserve"> The first International Sanitary Convention was </w:t>
      </w:r>
      <w:r w:rsidR="00557707">
        <w:t xml:space="preserve">adopted in 1892. </w:t>
      </w:r>
    </w:p>
  </w:footnote>
  <w:footnote w:id="4">
    <w:p w14:paraId="3E5BC129" w14:textId="0CE3A2D8" w:rsidR="00AA7A03" w:rsidRDefault="00AA7A03">
      <w:pPr>
        <w:pStyle w:val="FootnoteText"/>
      </w:pPr>
      <w:r>
        <w:rPr>
          <w:rStyle w:val="FootnoteReference"/>
        </w:rPr>
        <w:footnoteRef/>
      </w:r>
      <w:r>
        <w:t xml:space="preserve"> </w:t>
      </w:r>
      <w:r w:rsidR="00846344" w:rsidRPr="00846344">
        <w:t>Revision and updating of the International Health Regulations, W</w:t>
      </w:r>
      <w:r w:rsidR="00846344">
        <w:t xml:space="preserve">orld Health Assembly </w:t>
      </w:r>
      <w:r w:rsidR="00846344" w:rsidRPr="00846344">
        <w:t>Res</w:t>
      </w:r>
      <w:r w:rsidR="00846344">
        <w:t>olution</w:t>
      </w:r>
      <w:r w:rsidR="00846344" w:rsidRPr="00846344">
        <w:t xml:space="preserve"> 48.7 (12 May 1995)</w:t>
      </w:r>
    </w:p>
  </w:footnote>
  <w:footnote w:id="5">
    <w:p w14:paraId="2948013E" w14:textId="0A6B2731" w:rsidR="00B040EE" w:rsidRDefault="00B040EE">
      <w:pPr>
        <w:pStyle w:val="FootnoteText"/>
      </w:pPr>
      <w:r>
        <w:rPr>
          <w:rStyle w:val="FootnoteReference"/>
        </w:rPr>
        <w:footnoteRef/>
      </w:r>
      <w:r>
        <w:t xml:space="preserve"> These dates derive from WHO’s own </w:t>
      </w:r>
      <w:r w:rsidR="00A4594C">
        <w:t>novel coronavirus 2019 timeline, &lt;</w:t>
      </w:r>
      <w:r w:rsidR="009D785E" w:rsidRPr="009D785E">
        <w:t xml:space="preserve"> </w:t>
      </w:r>
      <w:hyperlink r:id="rId1" w:history="1">
        <w:r w:rsidR="009D785E" w:rsidRPr="00372B12">
          <w:rPr>
            <w:rStyle w:val="Hyperlink"/>
          </w:rPr>
          <w:t>https://www.who.int/emergencies/diseases/novel-coronavirus-2019/interactive-timeline</w:t>
        </w:r>
      </w:hyperlink>
      <w:r w:rsidR="009D785E">
        <w:t xml:space="preserve">&gt; accessed 25 September 2020. </w:t>
      </w:r>
    </w:p>
  </w:footnote>
  <w:footnote w:id="6">
    <w:p w14:paraId="303291B2" w14:textId="772F5160" w:rsidR="00850A0B" w:rsidRDefault="00850A0B" w:rsidP="001D30D1">
      <w:pPr>
        <w:pStyle w:val="FootnoteText"/>
      </w:pPr>
      <w:r>
        <w:rPr>
          <w:rStyle w:val="FootnoteReference"/>
        </w:rPr>
        <w:footnoteRef/>
      </w:r>
      <w:r>
        <w:t xml:space="preserve"> </w:t>
      </w:r>
      <w:proofErr w:type="spellStart"/>
      <w:r w:rsidR="000C185A">
        <w:t>Chaolin</w:t>
      </w:r>
      <w:proofErr w:type="spellEnd"/>
      <w:r w:rsidR="000C185A">
        <w:t xml:space="preserve"> Huang et al, </w:t>
      </w:r>
      <w:r w:rsidR="004A16DA">
        <w:t>‘</w:t>
      </w:r>
      <w:r w:rsidR="001D30D1">
        <w:t>Clinical features of patients infected with 2019 novel coronavirus in Wuhan, China’</w:t>
      </w:r>
      <w:r w:rsidR="004A16DA">
        <w:t xml:space="preserve"> </w:t>
      </w:r>
      <w:r w:rsidR="004A16DA" w:rsidRPr="006433D3">
        <w:rPr>
          <w:i/>
          <w:iCs/>
        </w:rPr>
        <w:t>The Lancet</w:t>
      </w:r>
      <w:r w:rsidR="004A16DA">
        <w:t xml:space="preserve"> </w:t>
      </w:r>
      <w:r w:rsidR="006433D3">
        <w:t>(vol 395, issue 10223) 499</w:t>
      </w:r>
    </w:p>
  </w:footnote>
  <w:footnote w:id="7">
    <w:p w14:paraId="658BF3C8" w14:textId="4D0EF654" w:rsidR="00CD3CF1" w:rsidRDefault="00CD3CF1">
      <w:pPr>
        <w:pStyle w:val="FootnoteText"/>
      </w:pPr>
      <w:r>
        <w:rPr>
          <w:rStyle w:val="FootnoteReference"/>
        </w:rPr>
        <w:footnoteRef/>
      </w:r>
      <w:r>
        <w:t xml:space="preserve"> </w:t>
      </w:r>
      <w:r w:rsidR="001D40DD">
        <w:t>Mark Ecclestone-Turner</w:t>
      </w:r>
      <w:r w:rsidR="00FE6035">
        <w:t xml:space="preserve"> and Adam </w:t>
      </w:r>
      <w:proofErr w:type="spellStart"/>
      <w:r w:rsidR="00FE6035">
        <w:t>Kamradt</w:t>
      </w:r>
      <w:proofErr w:type="spellEnd"/>
      <w:r w:rsidR="00FE6035">
        <w:t>-Scott, ‘</w:t>
      </w:r>
      <w:r w:rsidR="00FE6035" w:rsidRPr="00FE6035">
        <w:t>Transparency in IHR emergency committee decision making: the case for reform</w:t>
      </w:r>
      <w:r w:rsidR="00FE6035">
        <w:t xml:space="preserve">’ </w:t>
      </w:r>
      <w:r w:rsidR="00410CFD" w:rsidRPr="00A359FC">
        <w:rPr>
          <w:i/>
          <w:iCs/>
        </w:rPr>
        <w:t>British Medical Journa</w:t>
      </w:r>
      <w:r w:rsidR="003170E2" w:rsidRPr="00A359FC">
        <w:rPr>
          <w:i/>
          <w:iCs/>
        </w:rPr>
        <w:t>l</w:t>
      </w:r>
      <w:r w:rsidR="003F023E" w:rsidRPr="00A359FC">
        <w:rPr>
          <w:i/>
          <w:iCs/>
        </w:rPr>
        <w:t xml:space="preserve"> Global Health</w:t>
      </w:r>
      <w:r w:rsidR="003170E2">
        <w:t xml:space="preserve"> (</w:t>
      </w:r>
      <w:r w:rsidR="005F2E6B">
        <w:t xml:space="preserve">25 April </w:t>
      </w:r>
      <w:r w:rsidR="003F023E">
        <w:t>2019</w:t>
      </w:r>
      <w:r w:rsidR="00A359FC">
        <w:t xml:space="preserve">). </w:t>
      </w:r>
    </w:p>
  </w:footnote>
  <w:footnote w:id="8">
    <w:p w14:paraId="36EAFAD8" w14:textId="0A2CD443" w:rsidR="00F943C4" w:rsidRDefault="00F943C4">
      <w:pPr>
        <w:pStyle w:val="FootnoteText"/>
      </w:pPr>
      <w:r>
        <w:rPr>
          <w:rStyle w:val="FootnoteReference"/>
        </w:rPr>
        <w:footnoteRef/>
      </w:r>
      <w:r>
        <w:t xml:space="preserve"> </w:t>
      </w:r>
      <w:r w:rsidR="005140DD" w:rsidRPr="005140DD">
        <w:t>Statement on the meeting of the International Health Regulations (2005) Emergency Committee for Ebola virus disease in the Democratic Republic of the Congo on 12th April 2019</w:t>
      </w:r>
      <w:r w:rsidR="005140DD">
        <w:t xml:space="preserve"> (WHO, 12 April 2019). </w:t>
      </w:r>
    </w:p>
  </w:footnote>
  <w:footnote w:id="9">
    <w:p w14:paraId="59C82DF5" w14:textId="082F53AE" w:rsidR="00A5666D" w:rsidRDefault="00A5666D">
      <w:pPr>
        <w:pStyle w:val="FootnoteText"/>
      </w:pPr>
      <w:r>
        <w:rPr>
          <w:rStyle w:val="FootnoteReference"/>
        </w:rPr>
        <w:footnoteRef/>
      </w:r>
      <w:r>
        <w:t xml:space="preserve"> </w:t>
      </w:r>
      <w:r w:rsidR="005E3507" w:rsidRPr="005E3507">
        <w:t>Statement on the first meeting of the International Health Regulations (2005) Emergency Committee regarding the outbreak of novel coronavirus (2019-nCoV)</w:t>
      </w:r>
      <w:r w:rsidR="005E3507">
        <w:t xml:space="preserve"> (WHO, 23 January 2020). </w:t>
      </w:r>
    </w:p>
  </w:footnote>
  <w:footnote w:id="10">
    <w:p w14:paraId="48E32EAE" w14:textId="19B85ABE" w:rsidR="008E339A" w:rsidRDefault="008E339A">
      <w:pPr>
        <w:pStyle w:val="FootnoteText"/>
      </w:pPr>
      <w:r>
        <w:rPr>
          <w:rStyle w:val="FootnoteReference"/>
        </w:rPr>
        <w:footnoteRef/>
      </w:r>
      <w:r>
        <w:t xml:space="preserve"> </w:t>
      </w:r>
      <w:r w:rsidR="00F63D5E" w:rsidRPr="00F63D5E">
        <w:t>Statement on the second meeting of the International Health Regulations (2005) Emergency Committee regarding the outbreak of novel coronavirus (2019-nCoV)</w:t>
      </w:r>
      <w:r w:rsidR="00F63D5E">
        <w:t xml:space="preserve"> (WHO, 30 January 2020). </w:t>
      </w:r>
    </w:p>
  </w:footnote>
  <w:footnote w:id="11">
    <w:p w14:paraId="658B33BC" w14:textId="3D62CDE7" w:rsidR="007D1AAD" w:rsidRDefault="007D1AAD">
      <w:pPr>
        <w:pStyle w:val="FootnoteText"/>
      </w:pPr>
      <w:r>
        <w:rPr>
          <w:rStyle w:val="FootnoteReference"/>
        </w:rPr>
        <w:footnoteRef/>
      </w:r>
      <w:r>
        <w:t xml:space="preserve"> </w:t>
      </w:r>
      <w:r w:rsidR="00497CF0">
        <w:t xml:space="preserve">Gian Luca </w:t>
      </w:r>
      <w:proofErr w:type="spellStart"/>
      <w:r w:rsidR="00497CF0">
        <w:t>Burci</w:t>
      </w:r>
      <w:proofErr w:type="spellEnd"/>
      <w:r w:rsidR="00497CF0">
        <w:t>, ‘</w:t>
      </w:r>
      <w:r w:rsidR="00497CF0" w:rsidRPr="00497CF0">
        <w:t>The Outbreak of COVID-19 Coronavirus: are the International Health Regulations fit for purpose?</w:t>
      </w:r>
      <w:r w:rsidR="00D32985">
        <w:t>’ (EJIL: Talk! 27 February 2020) &lt;</w:t>
      </w:r>
      <w:r w:rsidR="00D32985" w:rsidRPr="00D32985">
        <w:t xml:space="preserve"> </w:t>
      </w:r>
      <w:hyperlink r:id="rId2" w:history="1">
        <w:r w:rsidR="00D32985" w:rsidRPr="00E45E81">
          <w:rPr>
            <w:rStyle w:val="Hyperlink"/>
          </w:rPr>
          <w:t>https://www.ejiltalk.org/the-outbreak-of-covid-19-coronavirus-are-the-international-health-regulations-fit-for-purpose/</w:t>
        </w:r>
      </w:hyperlink>
      <w:r w:rsidR="00D32985">
        <w:t>&gt; accessed 25 September 2020</w:t>
      </w:r>
      <w:r w:rsidR="00904D39">
        <w:t>.</w:t>
      </w:r>
    </w:p>
  </w:footnote>
  <w:footnote w:id="12">
    <w:p w14:paraId="07D7FA9F" w14:textId="4D616957" w:rsidR="00400823" w:rsidRDefault="00400823" w:rsidP="00400823">
      <w:pPr>
        <w:pStyle w:val="FootnoteText"/>
      </w:pPr>
      <w:r>
        <w:rPr>
          <w:rStyle w:val="FootnoteReference"/>
        </w:rPr>
        <w:footnoteRef/>
      </w:r>
      <w:r>
        <w:t xml:space="preserve"> Report of the Review Committee on the Functioning of the International Health Regulations (</w:t>
      </w:r>
      <w:proofErr w:type="gramStart"/>
      <w:r>
        <w:t>2005)in</w:t>
      </w:r>
      <w:proofErr w:type="gramEnd"/>
      <w:r>
        <w:t xml:space="preserve"> relation to Pandemic (H1N1) 2009 (64</w:t>
      </w:r>
      <w:r w:rsidRPr="00400823">
        <w:rPr>
          <w:vertAlign w:val="superscript"/>
        </w:rPr>
        <w:t>th</w:t>
      </w:r>
      <w:r>
        <w:t xml:space="preserve"> World Health Assembly).</w:t>
      </w:r>
    </w:p>
  </w:footnote>
  <w:footnote w:id="13">
    <w:p w14:paraId="31735A8A" w14:textId="1EC1E6A2" w:rsidR="0059136F" w:rsidRDefault="0059136F">
      <w:pPr>
        <w:pStyle w:val="FootnoteText"/>
      </w:pPr>
      <w:r>
        <w:rPr>
          <w:rStyle w:val="FootnoteReference"/>
        </w:rPr>
        <w:footnoteRef/>
      </w:r>
      <w:r>
        <w:t xml:space="preserve"> Barbara von </w:t>
      </w:r>
      <w:proofErr w:type="spellStart"/>
      <w:r>
        <w:t>Tigerstrom</w:t>
      </w:r>
      <w:proofErr w:type="spellEnd"/>
      <w:r>
        <w:t xml:space="preserve"> and </w:t>
      </w:r>
      <w:proofErr w:type="spellStart"/>
      <w:r>
        <w:t>Kumanan</w:t>
      </w:r>
      <w:proofErr w:type="spellEnd"/>
      <w:r>
        <w:t xml:space="preserve"> Wilson, </w:t>
      </w:r>
      <w:r w:rsidR="006F003C">
        <w:t>‘</w:t>
      </w:r>
      <w:r w:rsidR="00552BF2" w:rsidRPr="00552BF2">
        <w:t>COVID-19 travel restrictions and the International Health Regulations (2005)</w:t>
      </w:r>
      <w:r w:rsidR="006F003C">
        <w:t>’</w:t>
      </w:r>
      <w:r w:rsidR="00552BF2">
        <w:t xml:space="preserve"> </w:t>
      </w:r>
      <w:r w:rsidR="00552BF2" w:rsidRPr="006F003C">
        <w:rPr>
          <w:i/>
          <w:iCs/>
        </w:rPr>
        <w:t>British Medical Journal Global Health</w:t>
      </w:r>
      <w:r w:rsidR="006F003C">
        <w:t xml:space="preserve"> (17 May 2020).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D3A66"/>
    <w:multiLevelType w:val="hybridMultilevel"/>
    <w:tmpl w:val="C6A40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A4"/>
    <w:rsid w:val="00005624"/>
    <w:rsid w:val="00005DFE"/>
    <w:rsid w:val="0000664B"/>
    <w:rsid w:val="00012944"/>
    <w:rsid w:val="000137F8"/>
    <w:rsid w:val="0002011E"/>
    <w:rsid w:val="00022C4C"/>
    <w:rsid w:val="00027E87"/>
    <w:rsid w:val="00031018"/>
    <w:rsid w:val="0003708B"/>
    <w:rsid w:val="0004605D"/>
    <w:rsid w:val="00050204"/>
    <w:rsid w:val="000615F0"/>
    <w:rsid w:val="00064013"/>
    <w:rsid w:val="00066B59"/>
    <w:rsid w:val="000700AB"/>
    <w:rsid w:val="00071382"/>
    <w:rsid w:val="00071D1C"/>
    <w:rsid w:val="000733A7"/>
    <w:rsid w:val="000733B3"/>
    <w:rsid w:val="000758D5"/>
    <w:rsid w:val="000812BB"/>
    <w:rsid w:val="00084C93"/>
    <w:rsid w:val="00087E07"/>
    <w:rsid w:val="0009003C"/>
    <w:rsid w:val="00090D21"/>
    <w:rsid w:val="00091967"/>
    <w:rsid w:val="00097383"/>
    <w:rsid w:val="000973C4"/>
    <w:rsid w:val="000A2B80"/>
    <w:rsid w:val="000A4CE7"/>
    <w:rsid w:val="000A5760"/>
    <w:rsid w:val="000B16E0"/>
    <w:rsid w:val="000B3F45"/>
    <w:rsid w:val="000B669A"/>
    <w:rsid w:val="000B7BC6"/>
    <w:rsid w:val="000C069C"/>
    <w:rsid w:val="000C185A"/>
    <w:rsid w:val="000C3A90"/>
    <w:rsid w:val="000D049B"/>
    <w:rsid w:val="000D0ED5"/>
    <w:rsid w:val="000D1511"/>
    <w:rsid w:val="000D39D4"/>
    <w:rsid w:val="000D7FA5"/>
    <w:rsid w:val="000E05B8"/>
    <w:rsid w:val="000E0D14"/>
    <w:rsid w:val="000E2482"/>
    <w:rsid w:val="000E58C4"/>
    <w:rsid w:val="000F14EE"/>
    <w:rsid w:val="000F277F"/>
    <w:rsid w:val="000F6355"/>
    <w:rsid w:val="00104610"/>
    <w:rsid w:val="001058B4"/>
    <w:rsid w:val="001160F4"/>
    <w:rsid w:val="00117D14"/>
    <w:rsid w:val="00122007"/>
    <w:rsid w:val="00135DEE"/>
    <w:rsid w:val="001406AE"/>
    <w:rsid w:val="00141D69"/>
    <w:rsid w:val="00142F23"/>
    <w:rsid w:val="001466BE"/>
    <w:rsid w:val="0014790F"/>
    <w:rsid w:val="001562A5"/>
    <w:rsid w:val="0016436B"/>
    <w:rsid w:val="00165EC8"/>
    <w:rsid w:val="00170F36"/>
    <w:rsid w:val="00172B7F"/>
    <w:rsid w:val="001741DA"/>
    <w:rsid w:val="001741E9"/>
    <w:rsid w:val="001746C9"/>
    <w:rsid w:val="00174E05"/>
    <w:rsid w:val="00175BFE"/>
    <w:rsid w:val="00175E62"/>
    <w:rsid w:val="00180250"/>
    <w:rsid w:val="00180C08"/>
    <w:rsid w:val="00180D8B"/>
    <w:rsid w:val="00186779"/>
    <w:rsid w:val="00192D36"/>
    <w:rsid w:val="00196DA2"/>
    <w:rsid w:val="001A3C0C"/>
    <w:rsid w:val="001A472D"/>
    <w:rsid w:val="001A4F80"/>
    <w:rsid w:val="001A6769"/>
    <w:rsid w:val="001A6FEF"/>
    <w:rsid w:val="001A751C"/>
    <w:rsid w:val="001C180E"/>
    <w:rsid w:val="001C7F52"/>
    <w:rsid w:val="001D30D1"/>
    <w:rsid w:val="001D40DD"/>
    <w:rsid w:val="001E33EF"/>
    <w:rsid w:val="001E44A7"/>
    <w:rsid w:val="001E5EE0"/>
    <w:rsid w:val="001F29F6"/>
    <w:rsid w:val="001F33D4"/>
    <w:rsid w:val="001F4E93"/>
    <w:rsid w:val="002047B4"/>
    <w:rsid w:val="0020543C"/>
    <w:rsid w:val="002130D1"/>
    <w:rsid w:val="00213355"/>
    <w:rsid w:val="00214398"/>
    <w:rsid w:val="00215706"/>
    <w:rsid w:val="00217005"/>
    <w:rsid w:val="002179B9"/>
    <w:rsid w:val="00220664"/>
    <w:rsid w:val="00223439"/>
    <w:rsid w:val="002328D7"/>
    <w:rsid w:val="002330E4"/>
    <w:rsid w:val="00233F9E"/>
    <w:rsid w:val="002458E2"/>
    <w:rsid w:val="0025104B"/>
    <w:rsid w:val="002613A2"/>
    <w:rsid w:val="002666F3"/>
    <w:rsid w:val="00271778"/>
    <w:rsid w:val="00280E40"/>
    <w:rsid w:val="00281DAC"/>
    <w:rsid w:val="00286250"/>
    <w:rsid w:val="002873EE"/>
    <w:rsid w:val="00295F36"/>
    <w:rsid w:val="00296EB2"/>
    <w:rsid w:val="0029750C"/>
    <w:rsid w:val="002A4DC7"/>
    <w:rsid w:val="002A502A"/>
    <w:rsid w:val="002B0358"/>
    <w:rsid w:val="002B130B"/>
    <w:rsid w:val="002B372F"/>
    <w:rsid w:val="002C0AF2"/>
    <w:rsid w:val="002C65E9"/>
    <w:rsid w:val="002D092D"/>
    <w:rsid w:val="002D3B33"/>
    <w:rsid w:val="002D56F0"/>
    <w:rsid w:val="002E0359"/>
    <w:rsid w:val="002E3E6B"/>
    <w:rsid w:val="002E477F"/>
    <w:rsid w:val="002F112A"/>
    <w:rsid w:val="002F1F12"/>
    <w:rsid w:val="002F2C18"/>
    <w:rsid w:val="002F2ED2"/>
    <w:rsid w:val="002F36E9"/>
    <w:rsid w:val="002F5B95"/>
    <w:rsid w:val="00300847"/>
    <w:rsid w:val="003019CE"/>
    <w:rsid w:val="00305AD9"/>
    <w:rsid w:val="003134AA"/>
    <w:rsid w:val="00313692"/>
    <w:rsid w:val="00315B90"/>
    <w:rsid w:val="003170E2"/>
    <w:rsid w:val="00320401"/>
    <w:rsid w:val="00321BAC"/>
    <w:rsid w:val="00321FC3"/>
    <w:rsid w:val="00322864"/>
    <w:rsid w:val="00325D64"/>
    <w:rsid w:val="003334A9"/>
    <w:rsid w:val="00336940"/>
    <w:rsid w:val="00340290"/>
    <w:rsid w:val="00340A4C"/>
    <w:rsid w:val="00347EA8"/>
    <w:rsid w:val="0035023D"/>
    <w:rsid w:val="00351155"/>
    <w:rsid w:val="00354641"/>
    <w:rsid w:val="00356E8E"/>
    <w:rsid w:val="00356EB5"/>
    <w:rsid w:val="00361975"/>
    <w:rsid w:val="00364DD1"/>
    <w:rsid w:val="00381475"/>
    <w:rsid w:val="00392E9F"/>
    <w:rsid w:val="003973B7"/>
    <w:rsid w:val="003A12AC"/>
    <w:rsid w:val="003A2A8C"/>
    <w:rsid w:val="003A7E36"/>
    <w:rsid w:val="003B3769"/>
    <w:rsid w:val="003B4AB9"/>
    <w:rsid w:val="003B5614"/>
    <w:rsid w:val="003C63A3"/>
    <w:rsid w:val="003C6BB5"/>
    <w:rsid w:val="003C73B3"/>
    <w:rsid w:val="003D021B"/>
    <w:rsid w:val="003D581C"/>
    <w:rsid w:val="003D72A8"/>
    <w:rsid w:val="003D79E0"/>
    <w:rsid w:val="003E0A74"/>
    <w:rsid w:val="003E5C22"/>
    <w:rsid w:val="003F023E"/>
    <w:rsid w:val="003F1D1E"/>
    <w:rsid w:val="003F3DD1"/>
    <w:rsid w:val="0040041E"/>
    <w:rsid w:val="00400823"/>
    <w:rsid w:val="00410CFD"/>
    <w:rsid w:val="00413826"/>
    <w:rsid w:val="00416B03"/>
    <w:rsid w:val="00424191"/>
    <w:rsid w:val="004241E9"/>
    <w:rsid w:val="00433EE4"/>
    <w:rsid w:val="00436813"/>
    <w:rsid w:val="00442402"/>
    <w:rsid w:val="00450D98"/>
    <w:rsid w:val="00452222"/>
    <w:rsid w:val="00455180"/>
    <w:rsid w:val="0045721F"/>
    <w:rsid w:val="004574FF"/>
    <w:rsid w:val="0046186E"/>
    <w:rsid w:val="004623E6"/>
    <w:rsid w:val="00462C68"/>
    <w:rsid w:val="00462DF8"/>
    <w:rsid w:val="00462F90"/>
    <w:rsid w:val="004638D2"/>
    <w:rsid w:val="00463F7A"/>
    <w:rsid w:val="00466DBB"/>
    <w:rsid w:val="00474A68"/>
    <w:rsid w:val="004763DF"/>
    <w:rsid w:val="00480061"/>
    <w:rsid w:val="004816B6"/>
    <w:rsid w:val="00481A63"/>
    <w:rsid w:val="004840C8"/>
    <w:rsid w:val="00490966"/>
    <w:rsid w:val="004970C7"/>
    <w:rsid w:val="00497CF0"/>
    <w:rsid w:val="004A16DA"/>
    <w:rsid w:val="004A50F2"/>
    <w:rsid w:val="004B38E4"/>
    <w:rsid w:val="004B6093"/>
    <w:rsid w:val="004C13A4"/>
    <w:rsid w:val="004C45A4"/>
    <w:rsid w:val="004C495D"/>
    <w:rsid w:val="004D08F2"/>
    <w:rsid w:val="004D6431"/>
    <w:rsid w:val="004E159B"/>
    <w:rsid w:val="004F2AF7"/>
    <w:rsid w:val="0050214B"/>
    <w:rsid w:val="00502231"/>
    <w:rsid w:val="00503CF6"/>
    <w:rsid w:val="0050421C"/>
    <w:rsid w:val="0050428E"/>
    <w:rsid w:val="005140DD"/>
    <w:rsid w:val="00514E58"/>
    <w:rsid w:val="005168ED"/>
    <w:rsid w:val="00520016"/>
    <w:rsid w:val="0052041E"/>
    <w:rsid w:val="00520866"/>
    <w:rsid w:val="00520B39"/>
    <w:rsid w:val="00527B22"/>
    <w:rsid w:val="00527DFA"/>
    <w:rsid w:val="00530D5C"/>
    <w:rsid w:val="00534B78"/>
    <w:rsid w:val="00537AAB"/>
    <w:rsid w:val="00543CFD"/>
    <w:rsid w:val="0054450F"/>
    <w:rsid w:val="00544E5E"/>
    <w:rsid w:val="00545687"/>
    <w:rsid w:val="00552BF2"/>
    <w:rsid w:val="0055414A"/>
    <w:rsid w:val="005557CF"/>
    <w:rsid w:val="00555A19"/>
    <w:rsid w:val="00557707"/>
    <w:rsid w:val="00565399"/>
    <w:rsid w:val="00565CD9"/>
    <w:rsid w:val="0056741A"/>
    <w:rsid w:val="00567767"/>
    <w:rsid w:val="00583C93"/>
    <w:rsid w:val="0058622D"/>
    <w:rsid w:val="0058744D"/>
    <w:rsid w:val="0059136F"/>
    <w:rsid w:val="005A114A"/>
    <w:rsid w:val="005A509F"/>
    <w:rsid w:val="005A50EC"/>
    <w:rsid w:val="005B4397"/>
    <w:rsid w:val="005B5CEA"/>
    <w:rsid w:val="005C0DBB"/>
    <w:rsid w:val="005C5E68"/>
    <w:rsid w:val="005C682D"/>
    <w:rsid w:val="005D5974"/>
    <w:rsid w:val="005D63E0"/>
    <w:rsid w:val="005E0685"/>
    <w:rsid w:val="005E2CDC"/>
    <w:rsid w:val="005E3507"/>
    <w:rsid w:val="005E3CCA"/>
    <w:rsid w:val="005E49EB"/>
    <w:rsid w:val="005E7BA8"/>
    <w:rsid w:val="005F0F0A"/>
    <w:rsid w:val="005F161F"/>
    <w:rsid w:val="005F2E6B"/>
    <w:rsid w:val="005F4CC7"/>
    <w:rsid w:val="005F4E1C"/>
    <w:rsid w:val="005F5C46"/>
    <w:rsid w:val="005F6363"/>
    <w:rsid w:val="006121BB"/>
    <w:rsid w:val="006122CE"/>
    <w:rsid w:val="00612EDA"/>
    <w:rsid w:val="00613C80"/>
    <w:rsid w:val="00620685"/>
    <w:rsid w:val="00620FE7"/>
    <w:rsid w:val="00626FF6"/>
    <w:rsid w:val="00627CFB"/>
    <w:rsid w:val="006343A0"/>
    <w:rsid w:val="006359CD"/>
    <w:rsid w:val="00636002"/>
    <w:rsid w:val="00636E5D"/>
    <w:rsid w:val="006412E2"/>
    <w:rsid w:val="006433D3"/>
    <w:rsid w:val="0064576F"/>
    <w:rsid w:val="00654C8C"/>
    <w:rsid w:val="00663194"/>
    <w:rsid w:val="006663E4"/>
    <w:rsid w:val="00670A23"/>
    <w:rsid w:val="0067277E"/>
    <w:rsid w:val="00673E7B"/>
    <w:rsid w:val="006754ED"/>
    <w:rsid w:val="006755A0"/>
    <w:rsid w:val="006766D6"/>
    <w:rsid w:val="00677EDE"/>
    <w:rsid w:val="00681149"/>
    <w:rsid w:val="006818F4"/>
    <w:rsid w:val="00683637"/>
    <w:rsid w:val="00683968"/>
    <w:rsid w:val="006923A9"/>
    <w:rsid w:val="006A19B5"/>
    <w:rsid w:val="006A1E29"/>
    <w:rsid w:val="006A3D39"/>
    <w:rsid w:val="006C6CAE"/>
    <w:rsid w:val="006D0FF3"/>
    <w:rsid w:val="006D5095"/>
    <w:rsid w:val="006D7E52"/>
    <w:rsid w:val="006E1846"/>
    <w:rsid w:val="006E3462"/>
    <w:rsid w:val="006F003C"/>
    <w:rsid w:val="006F0696"/>
    <w:rsid w:val="006F28DB"/>
    <w:rsid w:val="007006F8"/>
    <w:rsid w:val="00700868"/>
    <w:rsid w:val="00701CE1"/>
    <w:rsid w:val="00705514"/>
    <w:rsid w:val="007066F0"/>
    <w:rsid w:val="007074F8"/>
    <w:rsid w:val="00715704"/>
    <w:rsid w:val="00716D3C"/>
    <w:rsid w:val="007172D4"/>
    <w:rsid w:val="007217F2"/>
    <w:rsid w:val="00722865"/>
    <w:rsid w:val="00723295"/>
    <w:rsid w:val="007236CA"/>
    <w:rsid w:val="00727C75"/>
    <w:rsid w:val="007327CC"/>
    <w:rsid w:val="00740E1E"/>
    <w:rsid w:val="00743435"/>
    <w:rsid w:val="00743899"/>
    <w:rsid w:val="00745484"/>
    <w:rsid w:val="00750A52"/>
    <w:rsid w:val="00750ED6"/>
    <w:rsid w:val="00753F51"/>
    <w:rsid w:val="007562D9"/>
    <w:rsid w:val="007627BE"/>
    <w:rsid w:val="00762842"/>
    <w:rsid w:val="007643C7"/>
    <w:rsid w:val="00764632"/>
    <w:rsid w:val="00764711"/>
    <w:rsid w:val="007655B3"/>
    <w:rsid w:val="00770615"/>
    <w:rsid w:val="007719AC"/>
    <w:rsid w:val="00771CC0"/>
    <w:rsid w:val="0077659C"/>
    <w:rsid w:val="007815AA"/>
    <w:rsid w:val="007817E9"/>
    <w:rsid w:val="00783229"/>
    <w:rsid w:val="00784775"/>
    <w:rsid w:val="00786538"/>
    <w:rsid w:val="00787DB2"/>
    <w:rsid w:val="00790C51"/>
    <w:rsid w:val="0079499A"/>
    <w:rsid w:val="007964B0"/>
    <w:rsid w:val="007A012D"/>
    <w:rsid w:val="007A2C8D"/>
    <w:rsid w:val="007B2BAC"/>
    <w:rsid w:val="007B44F1"/>
    <w:rsid w:val="007B7CE7"/>
    <w:rsid w:val="007C10D4"/>
    <w:rsid w:val="007C1A84"/>
    <w:rsid w:val="007C59FC"/>
    <w:rsid w:val="007C6361"/>
    <w:rsid w:val="007D1AAD"/>
    <w:rsid w:val="007E477B"/>
    <w:rsid w:val="007E49CD"/>
    <w:rsid w:val="007F0E3F"/>
    <w:rsid w:val="00800BA1"/>
    <w:rsid w:val="00801DF3"/>
    <w:rsid w:val="00807227"/>
    <w:rsid w:val="008075FA"/>
    <w:rsid w:val="00810F32"/>
    <w:rsid w:val="00823052"/>
    <w:rsid w:val="00823EBD"/>
    <w:rsid w:val="0082488D"/>
    <w:rsid w:val="00824DFB"/>
    <w:rsid w:val="00826C12"/>
    <w:rsid w:val="008311AE"/>
    <w:rsid w:val="00835768"/>
    <w:rsid w:val="00837C71"/>
    <w:rsid w:val="00840514"/>
    <w:rsid w:val="00841460"/>
    <w:rsid w:val="00841F0D"/>
    <w:rsid w:val="00842D42"/>
    <w:rsid w:val="008431EF"/>
    <w:rsid w:val="00846344"/>
    <w:rsid w:val="00850A0B"/>
    <w:rsid w:val="0085394E"/>
    <w:rsid w:val="00855F46"/>
    <w:rsid w:val="008576F8"/>
    <w:rsid w:val="00861907"/>
    <w:rsid w:val="00861BAB"/>
    <w:rsid w:val="00865506"/>
    <w:rsid w:val="00865732"/>
    <w:rsid w:val="00873B01"/>
    <w:rsid w:val="008744BB"/>
    <w:rsid w:val="00877878"/>
    <w:rsid w:val="00881D1F"/>
    <w:rsid w:val="00882BEE"/>
    <w:rsid w:val="00883166"/>
    <w:rsid w:val="00883B4C"/>
    <w:rsid w:val="008864B5"/>
    <w:rsid w:val="00891D99"/>
    <w:rsid w:val="008A4BC7"/>
    <w:rsid w:val="008A625A"/>
    <w:rsid w:val="008B0C68"/>
    <w:rsid w:val="008B4983"/>
    <w:rsid w:val="008B5C4C"/>
    <w:rsid w:val="008B5D16"/>
    <w:rsid w:val="008B612E"/>
    <w:rsid w:val="008B7F1B"/>
    <w:rsid w:val="008C6ADB"/>
    <w:rsid w:val="008C7A79"/>
    <w:rsid w:val="008D05C6"/>
    <w:rsid w:val="008E235C"/>
    <w:rsid w:val="008E339A"/>
    <w:rsid w:val="008E45CE"/>
    <w:rsid w:val="008E63E8"/>
    <w:rsid w:val="008E7ED5"/>
    <w:rsid w:val="008F0D5C"/>
    <w:rsid w:val="008F0EA1"/>
    <w:rsid w:val="008F2BDC"/>
    <w:rsid w:val="008F424D"/>
    <w:rsid w:val="008F5B0D"/>
    <w:rsid w:val="00900463"/>
    <w:rsid w:val="00904D39"/>
    <w:rsid w:val="009051A7"/>
    <w:rsid w:val="009065E0"/>
    <w:rsid w:val="00906C3E"/>
    <w:rsid w:val="009173C3"/>
    <w:rsid w:val="009213B2"/>
    <w:rsid w:val="00924465"/>
    <w:rsid w:val="009260D2"/>
    <w:rsid w:val="00927182"/>
    <w:rsid w:val="00930868"/>
    <w:rsid w:val="009324C3"/>
    <w:rsid w:val="0093457E"/>
    <w:rsid w:val="0094125B"/>
    <w:rsid w:val="00946999"/>
    <w:rsid w:val="0094730A"/>
    <w:rsid w:val="00956544"/>
    <w:rsid w:val="00964D09"/>
    <w:rsid w:val="00973D81"/>
    <w:rsid w:val="0098198C"/>
    <w:rsid w:val="0098249F"/>
    <w:rsid w:val="00982D1F"/>
    <w:rsid w:val="0098353B"/>
    <w:rsid w:val="00987160"/>
    <w:rsid w:val="00990199"/>
    <w:rsid w:val="009913A4"/>
    <w:rsid w:val="00997552"/>
    <w:rsid w:val="009A0EF7"/>
    <w:rsid w:val="009A2CA7"/>
    <w:rsid w:val="009A7299"/>
    <w:rsid w:val="009A7984"/>
    <w:rsid w:val="009B31C6"/>
    <w:rsid w:val="009B4D13"/>
    <w:rsid w:val="009B544F"/>
    <w:rsid w:val="009B5D72"/>
    <w:rsid w:val="009D3999"/>
    <w:rsid w:val="009D6CCD"/>
    <w:rsid w:val="009D6E3E"/>
    <w:rsid w:val="009D785E"/>
    <w:rsid w:val="009E0F63"/>
    <w:rsid w:val="009E2BC9"/>
    <w:rsid w:val="009F35CA"/>
    <w:rsid w:val="009F551E"/>
    <w:rsid w:val="009F66F9"/>
    <w:rsid w:val="00A01EAA"/>
    <w:rsid w:val="00A02004"/>
    <w:rsid w:val="00A0390B"/>
    <w:rsid w:val="00A06009"/>
    <w:rsid w:val="00A1575C"/>
    <w:rsid w:val="00A1713D"/>
    <w:rsid w:val="00A24B83"/>
    <w:rsid w:val="00A2545A"/>
    <w:rsid w:val="00A30ECA"/>
    <w:rsid w:val="00A359FC"/>
    <w:rsid w:val="00A37D2E"/>
    <w:rsid w:val="00A420AD"/>
    <w:rsid w:val="00A438E2"/>
    <w:rsid w:val="00A4594C"/>
    <w:rsid w:val="00A45BD5"/>
    <w:rsid w:val="00A47949"/>
    <w:rsid w:val="00A5104E"/>
    <w:rsid w:val="00A52E7C"/>
    <w:rsid w:val="00A5666D"/>
    <w:rsid w:val="00A61373"/>
    <w:rsid w:val="00A64996"/>
    <w:rsid w:val="00A71C69"/>
    <w:rsid w:val="00A725DD"/>
    <w:rsid w:val="00A731A0"/>
    <w:rsid w:val="00A7443E"/>
    <w:rsid w:val="00A76EA3"/>
    <w:rsid w:val="00A82F02"/>
    <w:rsid w:val="00A83904"/>
    <w:rsid w:val="00A9148E"/>
    <w:rsid w:val="00A92534"/>
    <w:rsid w:val="00A95392"/>
    <w:rsid w:val="00A97009"/>
    <w:rsid w:val="00AA175A"/>
    <w:rsid w:val="00AA2F29"/>
    <w:rsid w:val="00AA33E7"/>
    <w:rsid w:val="00AA3D09"/>
    <w:rsid w:val="00AA430F"/>
    <w:rsid w:val="00AA48EB"/>
    <w:rsid w:val="00AA5936"/>
    <w:rsid w:val="00AA64BD"/>
    <w:rsid w:val="00AA7A03"/>
    <w:rsid w:val="00AB05D4"/>
    <w:rsid w:val="00AB1711"/>
    <w:rsid w:val="00AB57EF"/>
    <w:rsid w:val="00AB63A0"/>
    <w:rsid w:val="00AC3152"/>
    <w:rsid w:val="00AC5E26"/>
    <w:rsid w:val="00AC64EA"/>
    <w:rsid w:val="00AC679E"/>
    <w:rsid w:val="00AE0C79"/>
    <w:rsid w:val="00AE4789"/>
    <w:rsid w:val="00AE507C"/>
    <w:rsid w:val="00AE6518"/>
    <w:rsid w:val="00AE71B4"/>
    <w:rsid w:val="00B01AEE"/>
    <w:rsid w:val="00B020A9"/>
    <w:rsid w:val="00B040EE"/>
    <w:rsid w:val="00B11E71"/>
    <w:rsid w:val="00B12110"/>
    <w:rsid w:val="00B12388"/>
    <w:rsid w:val="00B17D6B"/>
    <w:rsid w:val="00B317DE"/>
    <w:rsid w:val="00B33065"/>
    <w:rsid w:val="00B34989"/>
    <w:rsid w:val="00B4189D"/>
    <w:rsid w:val="00B42029"/>
    <w:rsid w:val="00B4315D"/>
    <w:rsid w:val="00B435A9"/>
    <w:rsid w:val="00B55089"/>
    <w:rsid w:val="00B62125"/>
    <w:rsid w:val="00B64B4F"/>
    <w:rsid w:val="00B6718F"/>
    <w:rsid w:val="00B72848"/>
    <w:rsid w:val="00B73343"/>
    <w:rsid w:val="00B77B2D"/>
    <w:rsid w:val="00B82DAE"/>
    <w:rsid w:val="00B9068A"/>
    <w:rsid w:val="00B93A8E"/>
    <w:rsid w:val="00B974A1"/>
    <w:rsid w:val="00BA0634"/>
    <w:rsid w:val="00BA08A6"/>
    <w:rsid w:val="00BA46B1"/>
    <w:rsid w:val="00BA4E91"/>
    <w:rsid w:val="00BA7C62"/>
    <w:rsid w:val="00BB38A4"/>
    <w:rsid w:val="00BC1881"/>
    <w:rsid w:val="00BC1DE3"/>
    <w:rsid w:val="00BC232C"/>
    <w:rsid w:val="00BC2388"/>
    <w:rsid w:val="00BC28DE"/>
    <w:rsid w:val="00BC2A4D"/>
    <w:rsid w:val="00BD04B1"/>
    <w:rsid w:val="00BD442D"/>
    <w:rsid w:val="00BE012D"/>
    <w:rsid w:val="00BE2D90"/>
    <w:rsid w:val="00BE2E02"/>
    <w:rsid w:val="00BE4AC8"/>
    <w:rsid w:val="00BF058F"/>
    <w:rsid w:val="00BF1503"/>
    <w:rsid w:val="00BF2B82"/>
    <w:rsid w:val="00BF2F8E"/>
    <w:rsid w:val="00C003B5"/>
    <w:rsid w:val="00C00810"/>
    <w:rsid w:val="00C05193"/>
    <w:rsid w:val="00C11A59"/>
    <w:rsid w:val="00C11C24"/>
    <w:rsid w:val="00C170DD"/>
    <w:rsid w:val="00C17C1F"/>
    <w:rsid w:val="00C209A9"/>
    <w:rsid w:val="00C242CC"/>
    <w:rsid w:val="00C266F1"/>
    <w:rsid w:val="00C27A26"/>
    <w:rsid w:val="00C31CD6"/>
    <w:rsid w:val="00C33251"/>
    <w:rsid w:val="00C335D2"/>
    <w:rsid w:val="00C3409C"/>
    <w:rsid w:val="00C34E77"/>
    <w:rsid w:val="00C37967"/>
    <w:rsid w:val="00C432AA"/>
    <w:rsid w:val="00C455DC"/>
    <w:rsid w:val="00C4712C"/>
    <w:rsid w:val="00C4720D"/>
    <w:rsid w:val="00C51D2F"/>
    <w:rsid w:val="00C52AD3"/>
    <w:rsid w:val="00C56874"/>
    <w:rsid w:val="00C71075"/>
    <w:rsid w:val="00C76C94"/>
    <w:rsid w:val="00C81461"/>
    <w:rsid w:val="00C91D08"/>
    <w:rsid w:val="00CA0EC4"/>
    <w:rsid w:val="00CB4FB6"/>
    <w:rsid w:val="00CB648D"/>
    <w:rsid w:val="00CC4C3A"/>
    <w:rsid w:val="00CC7E04"/>
    <w:rsid w:val="00CD3CF1"/>
    <w:rsid w:val="00CE0136"/>
    <w:rsid w:val="00CE2D3B"/>
    <w:rsid w:val="00CE2F01"/>
    <w:rsid w:val="00CE4A10"/>
    <w:rsid w:val="00CE7402"/>
    <w:rsid w:val="00CE7EAC"/>
    <w:rsid w:val="00CF1C60"/>
    <w:rsid w:val="00CF1D49"/>
    <w:rsid w:val="00D00B8A"/>
    <w:rsid w:val="00D0261B"/>
    <w:rsid w:val="00D05834"/>
    <w:rsid w:val="00D10266"/>
    <w:rsid w:val="00D10986"/>
    <w:rsid w:val="00D13B52"/>
    <w:rsid w:val="00D13D19"/>
    <w:rsid w:val="00D14505"/>
    <w:rsid w:val="00D17FE9"/>
    <w:rsid w:val="00D204FC"/>
    <w:rsid w:val="00D30FD3"/>
    <w:rsid w:val="00D31B92"/>
    <w:rsid w:val="00D32985"/>
    <w:rsid w:val="00D3317B"/>
    <w:rsid w:val="00D33D17"/>
    <w:rsid w:val="00D36AB5"/>
    <w:rsid w:val="00D377BB"/>
    <w:rsid w:val="00D37E4A"/>
    <w:rsid w:val="00D4405C"/>
    <w:rsid w:val="00D45A03"/>
    <w:rsid w:val="00D45F3C"/>
    <w:rsid w:val="00D477FF"/>
    <w:rsid w:val="00D51B76"/>
    <w:rsid w:val="00D52E0C"/>
    <w:rsid w:val="00D538C9"/>
    <w:rsid w:val="00D5397C"/>
    <w:rsid w:val="00D5580B"/>
    <w:rsid w:val="00D607A9"/>
    <w:rsid w:val="00D62C3B"/>
    <w:rsid w:val="00D6324A"/>
    <w:rsid w:val="00D7350D"/>
    <w:rsid w:val="00D80734"/>
    <w:rsid w:val="00D843C2"/>
    <w:rsid w:val="00D87F58"/>
    <w:rsid w:val="00D916CD"/>
    <w:rsid w:val="00D94E28"/>
    <w:rsid w:val="00D95B5C"/>
    <w:rsid w:val="00D96CB2"/>
    <w:rsid w:val="00D97A29"/>
    <w:rsid w:val="00DA145E"/>
    <w:rsid w:val="00DA39F7"/>
    <w:rsid w:val="00DA40F3"/>
    <w:rsid w:val="00DB3564"/>
    <w:rsid w:val="00DB389A"/>
    <w:rsid w:val="00DB666E"/>
    <w:rsid w:val="00DC0053"/>
    <w:rsid w:val="00DC1AD4"/>
    <w:rsid w:val="00DC286B"/>
    <w:rsid w:val="00DC34AD"/>
    <w:rsid w:val="00DD574F"/>
    <w:rsid w:val="00DD7686"/>
    <w:rsid w:val="00DD779A"/>
    <w:rsid w:val="00DD7CE0"/>
    <w:rsid w:val="00DE2952"/>
    <w:rsid w:val="00DE3F08"/>
    <w:rsid w:val="00DF1D9C"/>
    <w:rsid w:val="00DF3669"/>
    <w:rsid w:val="00DF422F"/>
    <w:rsid w:val="00DF4B4C"/>
    <w:rsid w:val="00DF67A3"/>
    <w:rsid w:val="00E006DE"/>
    <w:rsid w:val="00E00D73"/>
    <w:rsid w:val="00E01513"/>
    <w:rsid w:val="00E036F8"/>
    <w:rsid w:val="00E13E13"/>
    <w:rsid w:val="00E1498A"/>
    <w:rsid w:val="00E1523F"/>
    <w:rsid w:val="00E30EB8"/>
    <w:rsid w:val="00E3125D"/>
    <w:rsid w:val="00E31989"/>
    <w:rsid w:val="00E43968"/>
    <w:rsid w:val="00E44894"/>
    <w:rsid w:val="00E46E4E"/>
    <w:rsid w:val="00E46F35"/>
    <w:rsid w:val="00E471D8"/>
    <w:rsid w:val="00E50763"/>
    <w:rsid w:val="00E527F5"/>
    <w:rsid w:val="00E555F7"/>
    <w:rsid w:val="00E65469"/>
    <w:rsid w:val="00E65ECA"/>
    <w:rsid w:val="00E660C9"/>
    <w:rsid w:val="00E746B8"/>
    <w:rsid w:val="00E8044A"/>
    <w:rsid w:val="00E837C1"/>
    <w:rsid w:val="00E97118"/>
    <w:rsid w:val="00EA2E40"/>
    <w:rsid w:val="00EB1D6C"/>
    <w:rsid w:val="00EB55CC"/>
    <w:rsid w:val="00EC0524"/>
    <w:rsid w:val="00EC057D"/>
    <w:rsid w:val="00EC0CA0"/>
    <w:rsid w:val="00EC40D8"/>
    <w:rsid w:val="00EC66F8"/>
    <w:rsid w:val="00ED46B5"/>
    <w:rsid w:val="00ED7D40"/>
    <w:rsid w:val="00EE10FF"/>
    <w:rsid w:val="00EE4D5C"/>
    <w:rsid w:val="00EE5612"/>
    <w:rsid w:val="00EF6DA1"/>
    <w:rsid w:val="00F07787"/>
    <w:rsid w:val="00F13C6B"/>
    <w:rsid w:val="00F14F0C"/>
    <w:rsid w:val="00F15F20"/>
    <w:rsid w:val="00F20576"/>
    <w:rsid w:val="00F21D73"/>
    <w:rsid w:val="00F24968"/>
    <w:rsid w:val="00F251B7"/>
    <w:rsid w:val="00F27BFB"/>
    <w:rsid w:val="00F3210B"/>
    <w:rsid w:val="00F32664"/>
    <w:rsid w:val="00F33F4C"/>
    <w:rsid w:val="00F35406"/>
    <w:rsid w:val="00F375F4"/>
    <w:rsid w:val="00F46273"/>
    <w:rsid w:val="00F46E64"/>
    <w:rsid w:val="00F47D1E"/>
    <w:rsid w:val="00F518CC"/>
    <w:rsid w:val="00F54574"/>
    <w:rsid w:val="00F568D9"/>
    <w:rsid w:val="00F62BE1"/>
    <w:rsid w:val="00F62DBD"/>
    <w:rsid w:val="00F63D5E"/>
    <w:rsid w:val="00F65E16"/>
    <w:rsid w:val="00F83612"/>
    <w:rsid w:val="00F84D9D"/>
    <w:rsid w:val="00F90BF5"/>
    <w:rsid w:val="00F9219E"/>
    <w:rsid w:val="00F943C4"/>
    <w:rsid w:val="00F979B0"/>
    <w:rsid w:val="00FA5253"/>
    <w:rsid w:val="00FA578F"/>
    <w:rsid w:val="00FB3BAE"/>
    <w:rsid w:val="00FB4120"/>
    <w:rsid w:val="00FC079D"/>
    <w:rsid w:val="00FC3580"/>
    <w:rsid w:val="00FC5FA4"/>
    <w:rsid w:val="00FD6AEA"/>
    <w:rsid w:val="00FE00A5"/>
    <w:rsid w:val="00FE050D"/>
    <w:rsid w:val="00FE3B81"/>
    <w:rsid w:val="00FE5100"/>
    <w:rsid w:val="00FE5FEA"/>
    <w:rsid w:val="00FE6035"/>
    <w:rsid w:val="00FE630C"/>
    <w:rsid w:val="00FF1282"/>
    <w:rsid w:val="00FF2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25CC5"/>
  <w15:chartTrackingRefBased/>
  <w15:docId w15:val="{811435B4-691B-47DB-B519-9F7071A4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692"/>
    <w:pPr>
      <w:ind w:left="720"/>
      <w:contextualSpacing/>
    </w:pPr>
  </w:style>
  <w:style w:type="paragraph" w:styleId="FootnoteText">
    <w:name w:val="footnote text"/>
    <w:basedOn w:val="Normal"/>
    <w:link w:val="FootnoteTextChar"/>
    <w:uiPriority w:val="99"/>
    <w:semiHidden/>
    <w:unhideWhenUsed/>
    <w:rsid w:val="007E49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9CD"/>
    <w:rPr>
      <w:sz w:val="20"/>
      <w:szCs w:val="20"/>
    </w:rPr>
  </w:style>
  <w:style w:type="character" w:styleId="FootnoteReference">
    <w:name w:val="footnote reference"/>
    <w:basedOn w:val="DefaultParagraphFont"/>
    <w:uiPriority w:val="99"/>
    <w:semiHidden/>
    <w:unhideWhenUsed/>
    <w:rsid w:val="007E49CD"/>
    <w:rPr>
      <w:vertAlign w:val="superscript"/>
    </w:rPr>
  </w:style>
  <w:style w:type="character" w:styleId="Hyperlink">
    <w:name w:val="Hyperlink"/>
    <w:basedOn w:val="DefaultParagraphFont"/>
    <w:uiPriority w:val="99"/>
    <w:unhideWhenUsed/>
    <w:rsid w:val="00C52AD3"/>
    <w:rPr>
      <w:color w:val="0563C1" w:themeColor="hyperlink"/>
      <w:u w:val="single"/>
    </w:rPr>
  </w:style>
  <w:style w:type="character" w:styleId="UnresolvedMention">
    <w:name w:val="Unresolved Mention"/>
    <w:basedOn w:val="DefaultParagraphFont"/>
    <w:uiPriority w:val="99"/>
    <w:semiHidden/>
    <w:unhideWhenUsed/>
    <w:rsid w:val="00C52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jiltalk.org/the-outbreak-of-covid-19-coronavirus-are-the-international-health-regulations-fit-for-purpose/" TargetMode="External"/><Relationship Id="rId1" Type="http://schemas.openxmlformats.org/officeDocument/2006/relationships/hyperlink" Target="https://www.who.int/emergencies/diseases/novel-coronavirus-2019/interactive-tim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D607E-9BEC-45D2-B301-56959C609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2452</Words>
  <Characters>13981</Characters>
  <Application>Microsoft Office Word</Application>
  <DocSecurity>0</DocSecurity>
  <Lines>116</Lines>
  <Paragraphs>32</Paragraphs>
  <ScaleCrop>false</ScaleCrop>
  <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Lewis</dc:creator>
  <cp:keywords/>
  <dc:description/>
  <cp:lastModifiedBy>Madeleine Cirdei</cp:lastModifiedBy>
  <cp:revision>3</cp:revision>
  <dcterms:created xsi:type="dcterms:W3CDTF">2020-09-25T15:01:00Z</dcterms:created>
  <dcterms:modified xsi:type="dcterms:W3CDTF">2020-11-16T16:36:00Z</dcterms:modified>
</cp:coreProperties>
</file>